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DF16C" w14:textId="77777777" w:rsidR="00B917A4" w:rsidRDefault="009E443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Fiche laboratoire et évaluateur </w:t>
      </w:r>
    </w:p>
    <w:tbl>
      <w:tblPr>
        <w:tblW w:w="1530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35"/>
        <w:gridCol w:w="3260"/>
        <w:gridCol w:w="5528"/>
      </w:tblGrid>
      <w:tr w:rsidR="00B917A4" w14:paraId="7DBB543A" w14:textId="77777777" w:rsidTr="008E4031"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3BF36" w14:textId="77777777" w:rsidR="00B917A4" w:rsidRDefault="009E443B" w:rsidP="005519EA">
            <w:pPr>
              <w:spacing w:before="120" w:after="12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>Matériel indiqué sur la fiche candidat</w:t>
            </w: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B4193" w14:textId="77777777" w:rsidR="00B917A4" w:rsidRDefault="009E443B" w:rsidP="005519EA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>Précisions pour le laboratoire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F7EC5" w14:textId="77777777" w:rsidR="00B917A4" w:rsidRDefault="009E443B" w:rsidP="005519EA">
            <w:pPr>
              <w:spacing w:before="120" w:after="120"/>
              <w:ind w:left="31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>Remarques à l’évaluateur</w:t>
            </w:r>
          </w:p>
        </w:tc>
        <w:tc>
          <w:tcPr>
            <w:tcW w:w="5528" w:type="dxa"/>
            <w:vAlign w:val="center"/>
          </w:tcPr>
          <w:p w14:paraId="579156C9" w14:textId="68FDEF1C" w:rsidR="00B917A4" w:rsidRPr="005519EA" w:rsidRDefault="009E443B" w:rsidP="009E0E1E">
            <w:pPr>
              <w:pStyle w:val="NormalWeb"/>
              <w:spacing w:before="120" w:after="120"/>
              <w:ind w:left="136" w:right="137"/>
              <w:rPr>
                <w:rFonts w:ascii="Arial" w:hAnsi="Arial" w:cs="Arial"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Ressources et/ou informations à donner au candidat au cours de l’épreuve</w:t>
            </w:r>
          </w:p>
        </w:tc>
      </w:tr>
      <w:tr w:rsidR="005519EA" w14:paraId="13D140F2" w14:textId="77777777" w:rsidTr="008E4031">
        <w:tc>
          <w:tcPr>
            <w:tcW w:w="36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C3ECA" w14:textId="77777777" w:rsidR="0016630C" w:rsidRPr="00F66D13" w:rsidRDefault="0016630C" w:rsidP="00662B5F">
            <w:pPr>
              <w:numPr>
                <w:ilvl w:val="0"/>
                <w:numId w:val="6"/>
              </w:numPr>
              <w:suppressAutoHyphens/>
              <w:ind w:left="459" w:hanging="459"/>
              <w:jc w:val="both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F66D13">
              <w:rPr>
                <w:rFonts w:ascii="Arial" w:hAnsi="Arial" w:cs="Arial"/>
                <w:kern w:val="1"/>
                <w:sz w:val="24"/>
                <w:szCs w:val="24"/>
              </w:rPr>
              <w:t xml:space="preserve">tube contenant une solution de </w:t>
            </w:r>
            <w:r w:rsidRPr="00F66D13">
              <w:rPr>
                <w:rFonts w:ascii="Arial" w:hAnsi="Arial" w:cs="Arial"/>
                <w:sz w:val="24"/>
                <w:szCs w:val="24"/>
              </w:rPr>
              <w:t>tétanospasmine</w:t>
            </w:r>
            <w:r w:rsidRPr="00F66D13">
              <w:rPr>
                <w:rFonts w:ascii="Arial" w:hAnsi="Arial" w:cs="Arial"/>
                <w:kern w:val="1"/>
                <w:sz w:val="24"/>
                <w:szCs w:val="24"/>
              </w:rPr>
              <w:t> </w:t>
            </w:r>
          </w:p>
          <w:p w14:paraId="0FD67AC9" w14:textId="77777777" w:rsidR="00662B5F" w:rsidRPr="00F66D13" w:rsidRDefault="00662B5F" w:rsidP="00662B5F">
            <w:pPr>
              <w:numPr>
                <w:ilvl w:val="0"/>
                <w:numId w:val="6"/>
              </w:numPr>
              <w:suppressAutoHyphens/>
              <w:ind w:left="459" w:hanging="459"/>
              <w:jc w:val="both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F66D13">
              <w:rPr>
                <w:rFonts w:ascii="Arial" w:hAnsi="Arial" w:cs="Arial"/>
                <w:kern w:val="1"/>
                <w:sz w:val="24"/>
                <w:szCs w:val="24"/>
              </w:rPr>
              <w:t xml:space="preserve">différents sérums </w:t>
            </w:r>
            <w:r>
              <w:rPr>
                <w:rFonts w:ascii="Arial" w:hAnsi="Arial" w:cs="Arial"/>
                <w:kern w:val="1"/>
                <w:sz w:val="24"/>
                <w:szCs w:val="24"/>
              </w:rPr>
              <w:t>notés X, Y et Z</w:t>
            </w:r>
          </w:p>
          <w:p w14:paraId="71314A46" w14:textId="77777777" w:rsidR="0016630C" w:rsidRPr="00F66D13" w:rsidRDefault="0016630C" w:rsidP="00662B5F">
            <w:pPr>
              <w:numPr>
                <w:ilvl w:val="0"/>
                <w:numId w:val="6"/>
              </w:numPr>
              <w:suppressAutoHyphens/>
              <w:ind w:left="459" w:hanging="459"/>
              <w:jc w:val="both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F66D13">
              <w:rPr>
                <w:rFonts w:ascii="Arial" w:hAnsi="Arial" w:cs="Arial"/>
                <w:kern w:val="1"/>
                <w:sz w:val="24"/>
                <w:szCs w:val="24"/>
              </w:rPr>
              <w:t>petite boite de Pétri gélosée, emporte-pièce, cure-dent ou aiguille lancéolée, gabarit de perçage, feutre</w:t>
            </w:r>
          </w:p>
          <w:p w14:paraId="0AFB4902" w14:textId="77777777" w:rsidR="0016630C" w:rsidRPr="00F66D13" w:rsidRDefault="0016630C" w:rsidP="00662B5F">
            <w:pPr>
              <w:numPr>
                <w:ilvl w:val="0"/>
                <w:numId w:val="6"/>
              </w:numPr>
              <w:suppressAutoHyphens/>
              <w:ind w:left="459" w:hanging="459"/>
              <w:jc w:val="both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F66D13">
              <w:rPr>
                <w:rFonts w:ascii="Arial" w:hAnsi="Arial" w:cs="Arial"/>
                <w:kern w:val="1"/>
                <w:sz w:val="24"/>
                <w:szCs w:val="24"/>
              </w:rPr>
              <w:t>série de compte-gouttes propres</w:t>
            </w:r>
          </w:p>
          <w:p w14:paraId="652C82A7" w14:textId="77777777" w:rsidR="0016630C" w:rsidRDefault="0016630C" w:rsidP="00662B5F">
            <w:pPr>
              <w:numPr>
                <w:ilvl w:val="0"/>
                <w:numId w:val="6"/>
              </w:numPr>
              <w:suppressAutoHyphens/>
              <w:ind w:left="459" w:hanging="459"/>
              <w:jc w:val="both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F66D13">
              <w:rPr>
                <w:rFonts w:ascii="Arial" w:hAnsi="Arial" w:cs="Arial"/>
                <w:kern w:val="1"/>
                <w:sz w:val="24"/>
                <w:szCs w:val="24"/>
              </w:rPr>
              <w:t>feuille de papier noir</w:t>
            </w:r>
          </w:p>
          <w:p w14:paraId="51A895C4" w14:textId="2BAD8148" w:rsidR="00807DF1" w:rsidRPr="00F66D13" w:rsidRDefault="00807DF1" w:rsidP="00662B5F">
            <w:pPr>
              <w:numPr>
                <w:ilvl w:val="0"/>
                <w:numId w:val="6"/>
              </w:numPr>
              <w:suppressAutoHyphens/>
              <w:ind w:left="459" w:hanging="459"/>
              <w:jc w:val="both"/>
              <w:rPr>
                <w:rFonts w:ascii="Arial" w:hAnsi="Arial" w:cs="Arial"/>
                <w:kern w:val="1"/>
                <w:sz w:val="24"/>
                <w:szCs w:val="24"/>
              </w:rPr>
            </w:pPr>
            <w:r>
              <w:rPr>
                <w:rFonts w:ascii="Arial" w:hAnsi="Arial" w:cs="Arial"/>
                <w:kern w:val="1"/>
                <w:sz w:val="24"/>
                <w:szCs w:val="24"/>
              </w:rPr>
              <w:t xml:space="preserve">fiche protocole : </w:t>
            </w:r>
            <w:r w:rsidRPr="0054730A">
              <w:rPr>
                <w:rFonts w:ascii="Arial" w:hAnsi="Arial" w:cs="Arial"/>
                <w:kern w:val="1"/>
                <w:sz w:val="24"/>
                <w:szCs w:val="24"/>
              </w:rPr>
              <w:t>le test d’immunodiffusion ou test d’</w:t>
            </w:r>
            <w:r>
              <w:rPr>
                <w:rFonts w:ascii="Arial" w:hAnsi="Arial" w:cs="Arial"/>
                <w:kern w:val="1"/>
                <w:sz w:val="24"/>
                <w:szCs w:val="24"/>
              </w:rPr>
              <w:t>O</w:t>
            </w:r>
            <w:r w:rsidRPr="0054730A">
              <w:rPr>
                <w:rFonts w:ascii="Arial" w:hAnsi="Arial" w:cs="Arial"/>
                <w:kern w:val="1"/>
                <w:sz w:val="24"/>
                <w:szCs w:val="24"/>
              </w:rPr>
              <w:t>uchterlony</w:t>
            </w:r>
          </w:p>
          <w:p w14:paraId="169B34E7" w14:textId="6A2EBD01" w:rsidR="005519EA" w:rsidRPr="00EE2698" w:rsidRDefault="005519EA" w:rsidP="00200C74">
            <w:pPr>
              <w:pStyle w:val="NormalWeb"/>
              <w:spacing w:before="120" w:after="120"/>
              <w:ind w:left="99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  <w:vMerge w:val="restart"/>
          </w:tcPr>
          <w:p w14:paraId="5B140ADE" w14:textId="77777777" w:rsidR="00AE6F7D" w:rsidRDefault="00AE6F7D" w:rsidP="00AE6F7D">
            <w:pPr>
              <w:ind w:left="284" w:right="136"/>
              <w:jc w:val="both"/>
              <w:rPr>
                <w:rFonts w:ascii="Arial" w:hAnsi="Arial" w:cs="Arial"/>
                <w:color w:val="FF0000"/>
              </w:rPr>
            </w:pPr>
          </w:p>
          <w:p w14:paraId="6BE9B1B8" w14:textId="7E162634" w:rsidR="00AE6F7D" w:rsidRDefault="005519EA" w:rsidP="00AE6F7D">
            <w:pPr>
              <w:ind w:left="143" w:right="13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FF0000"/>
              </w:rPr>
              <w:t xml:space="preserve"> </w:t>
            </w:r>
            <w:r w:rsidR="00AE6F7D" w:rsidRPr="00322079">
              <w:rPr>
                <w:rFonts w:ascii="Arial" w:hAnsi="Arial" w:cs="Arial"/>
              </w:rPr>
              <w:t xml:space="preserve">Tube </w:t>
            </w:r>
            <w:r w:rsidR="00AE6F7D" w:rsidRPr="00704BBD">
              <w:rPr>
                <w:rFonts w:ascii="Arial" w:hAnsi="Arial" w:cs="Arial"/>
                <w:sz w:val="24"/>
                <w:szCs w:val="24"/>
              </w:rPr>
              <w:t>tétanospasmine :</w:t>
            </w:r>
            <w:r w:rsidR="00AE6F7D" w:rsidRPr="00322079">
              <w:rPr>
                <w:rFonts w:ascii="Arial" w:hAnsi="Arial" w:cs="Arial"/>
              </w:rPr>
              <w:t xml:space="preserve"> </w:t>
            </w:r>
            <w:r w:rsidR="00AE6F7D" w:rsidRPr="00322079">
              <w:rPr>
                <w:rFonts w:ascii="Arial" w:hAnsi="Arial" w:cs="Arial"/>
                <w:b/>
              </w:rPr>
              <w:t>SOUDE</w:t>
            </w:r>
          </w:p>
          <w:p w14:paraId="17CE48F2" w14:textId="77777777" w:rsidR="00AE6F7D" w:rsidRPr="00322079" w:rsidRDefault="00AE6F7D" w:rsidP="00AE6F7D">
            <w:pPr>
              <w:ind w:left="143" w:right="136"/>
              <w:jc w:val="both"/>
              <w:rPr>
                <w:rFonts w:ascii="Arial" w:hAnsi="Arial" w:cs="Arial"/>
                <w:b/>
              </w:rPr>
            </w:pPr>
          </w:p>
          <w:p w14:paraId="7F53E0A4" w14:textId="0613543B" w:rsidR="00AE6F7D" w:rsidRDefault="00AE6F7D" w:rsidP="00AE6F7D">
            <w:pPr>
              <w:ind w:left="143" w:right="136"/>
              <w:jc w:val="both"/>
              <w:rPr>
                <w:rFonts w:ascii="Arial" w:hAnsi="Arial" w:cs="Arial"/>
              </w:rPr>
            </w:pPr>
            <w:r w:rsidRPr="00322079">
              <w:rPr>
                <w:rFonts w:ascii="Arial" w:hAnsi="Arial" w:cs="Arial"/>
              </w:rPr>
              <w:t xml:space="preserve">Tube sérum </w:t>
            </w:r>
            <w:r w:rsidR="00200C74">
              <w:rPr>
                <w:rFonts w:ascii="Arial" w:hAnsi="Arial" w:cs="Arial"/>
              </w:rPr>
              <w:t>Y</w:t>
            </w:r>
            <w:r w:rsidR="00704BBD">
              <w:rPr>
                <w:rFonts w:ascii="Arial" w:hAnsi="Arial" w:cs="Arial"/>
              </w:rPr>
              <w:t xml:space="preserve"> </w:t>
            </w:r>
            <w:r w:rsidRPr="00322079">
              <w:rPr>
                <w:rFonts w:ascii="Arial" w:hAnsi="Arial" w:cs="Arial"/>
              </w:rPr>
              <w:t xml:space="preserve">: </w:t>
            </w:r>
            <w:r w:rsidRPr="00322079">
              <w:rPr>
                <w:rFonts w:ascii="Arial" w:hAnsi="Arial" w:cs="Arial"/>
                <w:b/>
              </w:rPr>
              <w:t>EAU DISTILLEE</w:t>
            </w:r>
            <w:r w:rsidRPr="00322079">
              <w:rPr>
                <w:rFonts w:ascii="Arial" w:hAnsi="Arial" w:cs="Arial"/>
              </w:rPr>
              <w:t> </w:t>
            </w:r>
          </w:p>
          <w:p w14:paraId="77D8AC87" w14:textId="77777777" w:rsidR="00AE6F7D" w:rsidRDefault="00AE6F7D" w:rsidP="00AE6F7D">
            <w:pPr>
              <w:ind w:left="143" w:right="136"/>
              <w:jc w:val="both"/>
              <w:rPr>
                <w:rFonts w:ascii="Arial" w:hAnsi="Arial" w:cs="Arial"/>
              </w:rPr>
            </w:pPr>
          </w:p>
          <w:p w14:paraId="4FDDFD12" w14:textId="5B762964" w:rsidR="00AE6F7D" w:rsidRDefault="00AE6F7D" w:rsidP="00AE6F7D">
            <w:pPr>
              <w:ind w:left="143" w:right="136"/>
              <w:jc w:val="both"/>
              <w:rPr>
                <w:rFonts w:ascii="Arial" w:hAnsi="Arial" w:cs="Arial"/>
              </w:rPr>
            </w:pPr>
            <w:r w:rsidRPr="00322079">
              <w:rPr>
                <w:rFonts w:ascii="Arial" w:hAnsi="Arial" w:cs="Arial"/>
              </w:rPr>
              <w:t xml:space="preserve">Tube sérum </w:t>
            </w:r>
            <w:r w:rsidR="00200C74">
              <w:rPr>
                <w:rFonts w:ascii="Arial" w:hAnsi="Arial" w:cs="Arial"/>
              </w:rPr>
              <w:t>X</w:t>
            </w:r>
            <w:r w:rsidR="00704BBD">
              <w:rPr>
                <w:rFonts w:ascii="Arial" w:hAnsi="Arial" w:cs="Arial"/>
              </w:rPr>
              <w:t xml:space="preserve"> et </w:t>
            </w:r>
            <w:r>
              <w:rPr>
                <w:rFonts w:ascii="Arial" w:hAnsi="Arial" w:cs="Arial"/>
              </w:rPr>
              <w:t>Z :</w:t>
            </w:r>
            <w:r w:rsidRPr="00322079">
              <w:rPr>
                <w:rFonts w:ascii="Arial" w:hAnsi="Arial" w:cs="Arial"/>
              </w:rPr>
              <w:t xml:space="preserve"> </w:t>
            </w:r>
          </w:p>
          <w:p w14:paraId="078CC5B0" w14:textId="77777777" w:rsidR="00AE6F7D" w:rsidRPr="00322079" w:rsidRDefault="00AE6F7D" w:rsidP="00AE6F7D">
            <w:pPr>
              <w:ind w:left="143" w:right="136"/>
              <w:jc w:val="both"/>
              <w:rPr>
                <w:rFonts w:ascii="Arial" w:hAnsi="Arial" w:cs="Arial"/>
              </w:rPr>
            </w:pPr>
            <w:r w:rsidRPr="00322079">
              <w:rPr>
                <w:rFonts w:ascii="Arial" w:hAnsi="Arial" w:cs="Arial"/>
                <w:b/>
              </w:rPr>
              <w:t>SULFATE DE ZINC</w:t>
            </w:r>
          </w:p>
          <w:p w14:paraId="1D0297F8" w14:textId="77777777" w:rsidR="00AE6F7D" w:rsidRPr="00322079" w:rsidRDefault="00AE6F7D" w:rsidP="00AE6F7D">
            <w:pPr>
              <w:ind w:left="284" w:right="317"/>
              <w:jc w:val="both"/>
              <w:rPr>
                <w:rFonts w:ascii="Arial" w:hAnsi="Arial" w:cs="Arial"/>
                <w:b/>
              </w:rPr>
            </w:pPr>
          </w:p>
          <w:p w14:paraId="5B4930E6" w14:textId="1242815F" w:rsidR="005519EA" w:rsidRDefault="005519EA" w:rsidP="005519EA">
            <w:pPr>
              <w:pStyle w:val="NormalWeb"/>
              <w:spacing w:before="120" w:after="120"/>
              <w:ind w:left="47" w:right="130"/>
              <w:jc w:val="both"/>
              <w:rPr>
                <w:rFonts w:ascii="Arial" w:hAnsi="Arial" w:cs="Arial"/>
                <w:color w:val="FF0000"/>
              </w:rPr>
            </w:pPr>
          </w:p>
          <w:p w14:paraId="0632EF9D" w14:textId="2D52D4E1" w:rsidR="005519EA" w:rsidRPr="00EA65CC" w:rsidRDefault="005519EA" w:rsidP="00EA65CC">
            <w:pPr>
              <w:pStyle w:val="NormalWeb"/>
              <w:spacing w:before="120" w:after="120"/>
              <w:ind w:left="47" w:right="13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F008C" w14:textId="77777777" w:rsidR="005519EA" w:rsidRDefault="005519EA" w:rsidP="005519EA">
            <w:pPr>
              <w:pStyle w:val="NormalWeb"/>
              <w:spacing w:before="120" w:after="12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Aides majeures</w:t>
            </w:r>
          </w:p>
          <w:p w14:paraId="002915DF" w14:textId="1B642CE7" w:rsidR="00704BBD" w:rsidRPr="00C24C7F" w:rsidRDefault="00C24C7F" w:rsidP="005519EA">
            <w:pPr>
              <w:pStyle w:val="NormalWeb"/>
              <w:spacing w:before="120" w:after="120"/>
              <w:jc w:val="left"/>
              <w:rPr>
                <w:rFonts w:ascii="Arial" w:hAnsi="Arial" w:cs="Arial"/>
                <w:bCs/>
              </w:rPr>
            </w:pPr>
            <w:r w:rsidRPr="00C24C7F">
              <w:rPr>
                <w:rFonts w:ascii="Arial" w:hAnsi="Arial" w:cs="Arial"/>
                <w:bCs/>
              </w:rPr>
              <w:t>Réalisation du test à la place de l’élève</w:t>
            </w:r>
          </w:p>
          <w:p w14:paraId="703FB0CD" w14:textId="77777777" w:rsidR="00704BBD" w:rsidRDefault="00704BBD" w:rsidP="005519EA">
            <w:pPr>
              <w:pStyle w:val="NormalWeb"/>
              <w:spacing w:before="120" w:after="120"/>
              <w:jc w:val="left"/>
              <w:rPr>
                <w:rFonts w:ascii="Arial" w:hAnsi="Arial" w:cs="Arial"/>
                <w:b/>
              </w:rPr>
            </w:pPr>
          </w:p>
          <w:p w14:paraId="6BA644E9" w14:textId="77777777" w:rsidR="00704BBD" w:rsidRDefault="00704BBD" w:rsidP="005519EA">
            <w:pPr>
              <w:pStyle w:val="NormalWeb"/>
              <w:spacing w:before="120" w:after="120"/>
              <w:jc w:val="left"/>
              <w:rPr>
                <w:rFonts w:ascii="Arial" w:hAnsi="Arial" w:cs="Arial"/>
                <w:b/>
              </w:rPr>
            </w:pPr>
          </w:p>
          <w:p w14:paraId="38B76468" w14:textId="7FEF37FC" w:rsidR="00C24C7F" w:rsidRDefault="005519EA" w:rsidP="005519EA">
            <w:pPr>
              <w:pStyle w:val="NormalWeb"/>
              <w:spacing w:before="120" w:after="12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Documents de secours (à construire avec le matériel de l’établissement) : </w:t>
            </w:r>
            <w:r w:rsidR="00C24C7F" w:rsidRPr="00C24C7F">
              <w:rPr>
                <w:rFonts w:ascii="Arial" w:hAnsi="Arial" w:cs="Arial"/>
                <w:bCs/>
              </w:rPr>
              <w:t>Voir le</w:t>
            </w:r>
            <w:r w:rsidR="00C24C7F">
              <w:rPr>
                <w:rFonts w:ascii="Arial" w:hAnsi="Arial" w:cs="Arial"/>
                <w:b/>
              </w:rPr>
              <w:t xml:space="preserve"> </w:t>
            </w:r>
            <w:r w:rsidR="00C24C7F">
              <w:rPr>
                <w:rFonts w:ascii="Arial" w:hAnsi="Arial" w:cs="Arial"/>
                <w:bCs/>
                <w:color w:val="000000" w:themeColor="text1"/>
                <w:lang w:eastAsia="en-US"/>
              </w:rPr>
              <w:t xml:space="preserve">fichier </w:t>
            </w:r>
            <w:r w:rsidR="00662B5F">
              <w:rPr>
                <w:rFonts w:ascii="Arial" w:hAnsi="Arial" w:cs="Arial"/>
                <w:bCs/>
                <w:color w:val="000000" w:themeColor="text1"/>
                <w:lang w:eastAsia="en-US"/>
              </w:rPr>
              <w:t> </w:t>
            </w:r>
            <w:r w:rsidR="008E4031">
              <w:rPr>
                <w:rFonts w:ascii="Arial" w:hAnsi="Arial" w:cs="Arial"/>
                <w:bCs/>
                <w:color w:val="000000" w:themeColor="text1"/>
                <w:lang w:eastAsia="en-US"/>
              </w:rPr>
              <w:t>« </w:t>
            </w:r>
            <w:r w:rsidR="00C24C7F">
              <w:rPr>
                <w:rFonts w:ascii="Arial" w:hAnsi="Arial" w:cs="Arial"/>
                <w:bCs/>
                <w:color w:val="000000" w:themeColor="text1"/>
                <w:lang w:eastAsia="en-US"/>
              </w:rPr>
              <w:t>tetanos_document_attente</w:t>
            </w:r>
            <w:r w:rsidR="00662B5F">
              <w:rPr>
                <w:rFonts w:ascii="Arial" w:hAnsi="Arial" w:cs="Arial"/>
                <w:bCs/>
                <w:color w:val="000000" w:themeColor="text1"/>
                <w:lang w:eastAsia="en-US"/>
              </w:rPr>
              <w:t>»</w:t>
            </w:r>
          </w:p>
          <w:p w14:paraId="3CC083F4" w14:textId="77777777" w:rsidR="005519EA" w:rsidRDefault="005519EA" w:rsidP="005519EA">
            <w:pPr>
              <w:pStyle w:val="NormalWeb"/>
              <w:spacing w:before="120" w:after="120"/>
              <w:jc w:val="left"/>
              <w:rPr>
                <w:rFonts w:ascii="Arial" w:hAnsi="Arial" w:cs="Arial"/>
              </w:rPr>
            </w:pPr>
          </w:p>
          <w:p w14:paraId="5F42C4AB" w14:textId="77777777" w:rsidR="005519EA" w:rsidRDefault="005519EA" w:rsidP="005519EA">
            <w:pPr>
              <w:pStyle w:val="NormalWeb"/>
              <w:spacing w:before="120" w:after="120"/>
              <w:jc w:val="left"/>
              <w:rPr>
                <w:rFonts w:ascii="Arial" w:hAnsi="Arial" w:cs="Arial"/>
                <w:b/>
              </w:rPr>
            </w:pPr>
          </w:p>
          <w:p w14:paraId="1F7FC6B0" w14:textId="77777777" w:rsidR="005519EA" w:rsidRDefault="005519EA" w:rsidP="005519EA">
            <w:pPr>
              <w:pStyle w:val="NormalWeb"/>
              <w:spacing w:before="120" w:after="120"/>
              <w:jc w:val="left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03F61D5E" w14:textId="2AFCF09D" w:rsidR="006241F7" w:rsidRPr="00B87E20" w:rsidRDefault="00EA65CC" w:rsidP="00B87E20">
            <w:pPr>
              <w:pStyle w:val="NormalWeb"/>
              <w:spacing w:before="120" w:after="120"/>
              <w:ind w:left="143"/>
              <w:jc w:val="left"/>
              <w:rPr>
                <w:rFonts w:ascii="Arial" w:hAnsi="Arial" w:cs="Arial"/>
                <w:b/>
                <w:color w:val="4472C4" w:themeColor="accent1"/>
              </w:rPr>
            </w:pPr>
            <w:r w:rsidRPr="00704991">
              <w:rPr>
                <w:rFonts w:ascii="Arial" w:hAnsi="Arial" w:cs="Arial"/>
                <w:b/>
              </w:rPr>
              <w:t xml:space="preserve">Indiquer oralement au candidat </w:t>
            </w:r>
            <w:r w:rsidRPr="00704991">
              <w:rPr>
                <w:rFonts w:ascii="Arial" w:hAnsi="Arial" w:cs="Arial"/>
              </w:rPr>
              <w:t>dès le début de l’épreuve que la situation comporte</w:t>
            </w:r>
            <w:r w:rsidRPr="00704991">
              <w:rPr>
                <w:rFonts w:ascii="Arial" w:hAnsi="Arial" w:cs="Arial"/>
                <w:b/>
              </w:rPr>
              <w:t xml:space="preserve"> </w:t>
            </w:r>
            <w:r w:rsidRPr="009E579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Pr="00704991">
              <w:rPr>
                <w:rFonts w:ascii="Arial" w:hAnsi="Arial" w:cs="Arial"/>
              </w:rPr>
              <w:t>geste technique</w:t>
            </w:r>
          </w:p>
        </w:tc>
      </w:tr>
      <w:tr w:rsidR="00EA65CC" w14:paraId="3B85CDF2" w14:textId="77777777" w:rsidTr="008E4031">
        <w:trPr>
          <w:trHeight w:val="4225"/>
        </w:trPr>
        <w:tc>
          <w:tcPr>
            <w:tcW w:w="368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53451" w14:textId="77777777" w:rsidR="00EA65CC" w:rsidRDefault="00EA65CC" w:rsidP="005519EA">
            <w:pPr>
              <w:pStyle w:val="NormalWeb"/>
              <w:spacing w:before="0" w:after="0"/>
              <w:ind w:left="171"/>
              <w:jc w:val="both"/>
              <w:rPr>
                <w:rFonts w:ascii="Arial" w:hAnsi="Arial" w:cs="Arial"/>
                <w:b/>
                <w:color w:val="FF0000"/>
                <w:lang w:eastAsia="en-US"/>
              </w:rPr>
            </w:pPr>
          </w:p>
        </w:tc>
        <w:tc>
          <w:tcPr>
            <w:tcW w:w="2835" w:type="dxa"/>
            <w:vMerge/>
          </w:tcPr>
          <w:p w14:paraId="0BA4EE4E" w14:textId="77777777" w:rsidR="00EA65CC" w:rsidRDefault="00EA65CC" w:rsidP="005519EA">
            <w:pPr>
              <w:pStyle w:val="NormalWeb"/>
              <w:spacing w:before="0" w:after="0"/>
              <w:ind w:left="47" w:right="130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E8DF" w14:textId="77777777" w:rsidR="00EA65CC" w:rsidRDefault="00EA65CC" w:rsidP="005519EA">
            <w:pPr>
              <w:pStyle w:val="NormalWeb"/>
              <w:spacing w:before="0" w:after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</w:tcPr>
          <w:p w14:paraId="794D4535" w14:textId="77777777" w:rsidR="00EA65CC" w:rsidRDefault="00EA65CC" w:rsidP="005519EA">
            <w:pPr>
              <w:pStyle w:val="NormalWeb"/>
              <w:spacing w:before="120" w:after="120"/>
              <w:ind w:left="138" w:right="137"/>
              <w:jc w:val="left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Après l’interaction orale sur l’élaboration de la stratégie :</w:t>
            </w:r>
          </w:p>
          <w:p w14:paraId="2464F56C" w14:textId="37E10E11" w:rsidR="00EA65CC" w:rsidRDefault="009E0E1E" w:rsidP="009E0E1E">
            <w:pPr>
              <w:pStyle w:val="NormalWeb"/>
              <w:spacing w:before="120" w:after="120"/>
              <w:ind w:left="280" w:right="137"/>
              <w:jc w:val="left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  <w:lang w:eastAsia="en-US"/>
              </w:rPr>
              <w:t xml:space="preserve">Indiquer le contenu des tubes : </w:t>
            </w:r>
          </w:p>
          <w:p w14:paraId="4334CF82" w14:textId="6CD4D784" w:rsidR="00AE6F7D" w:rsidRDefault="00662B5F" w:rsidP="009E0E1E">
            <w:pPr>
              <w:suppressAutoHyphens/>
              <w:spacing w:before="120"/>
              <w:ind w:left="280" w:right="282"/>
              <w:jc w:val="both"/>
              <w:rPr>
                <w:rFonts w:ascii="Arial" w:hAnsi="Arial" w:cs="Arial"/>
                <w:kern w:val="1"/>
                <w:sz w:val="23"/>
                <w:szCs w:val="23"/>
              </w:rPr>
            </w:pPr>
            <w:r>
              <w:rPr>
                <w:rFonts w:ascii="Arial" w:hAnsi="Arial" w:cs="Arial"/>
                <w:kern w:val="1"/>
                <w:sz w:val="23"/>
                <w:szCs w:val="23"/>
              </w:rPr>
              <w:t>Les t</w:t>
            </w:r>
            <w:r w:rsidR="009E0E1E">
              <w:rPr>
                <w:rFonts w:ascii="Arial" w:hAnsi="Arial" w:cs="Arial"/>
                <w:kern w:val="1"/>
                <w:sz w:val="23"/>
                <w:szCs w:val="23"/>
              </w:rPr>
              <w:t xml:space="preserve">rois </w:t>
            </w:r>
            <w:r w:rsidR="009E0E1E" w:rsidRPr="005C48CC">
              <w:rPr>
                <w:rFonts w:ascii="Arial" w:hAnsi="Arial" w:cs="Arial"/>
                <w:kern w:val="1"/>
                <w:sz w:val="23"/>
                <w:szCs w:val="23"/>
              </w:rPr>
              <w:t>tubes cont</w:t>
            </w:r>
            <w:r>
              <w:rPr>
                <w:rFonts w:ascii="Arial" w:hAnsi="Arial" w:cs="Arial"/>
                <w:kern w:val="1"/>
                <w:sz w:val="23"/>
                <w:szCs w:val="23"/>
              </w:rPr>
              <w:t xml:space="preserve">iennent </w:t>
            </w:r>
            <w:r w:rsidR="009E0E1E" w:rsidRPr="005C48CC">
              <w:rPr>
                <w:rFonts w:ascii="Arial" w:hAnsi="Arial" w:cs="Arial"/>
                <w:kern w:val="1"/>
                <w:sz w:val="23"/>
                <w:szCs w:val="23"/>
              </w:rPr>
              <w:t xml:space="preserve"> les sérums de trois étudiants (X, Y, Z) : </w:t>
            </w:r>
          </w:p>
          <w:p w14:paraId="2A3ACDEE" w14:textId="2959F5B0" w:rsidR="00AE6F7D" w:rsidRPr="00AE6F7D" w:rsidRDefault="008E4031" w:rsidP="00AE6F7D">
            <w:pPr>
              <w:pStyle w:val="Paragraphedeliste"/>
              <w:numPr>
                <w:ilvl w:val="0"/>
                <w:numId w:val="7"/>
              </w:numPr>
              <w:suppressAutoHyphens/>
              <w:spacing w:before="120"/>
              <w:ind w:right="282"/>
              <w:jc w:val="both"/>
              <w:rPr>
                <w:rFonts w:ascii="Arial" w:hAnsi="Arial" w:cs="Arial"/>
                <w:kern w:val="1"/>
                <w:sz w:val="23"/>
                <w:szCs w:val="23"/>
              </w:rPr>
            </w:pPr>
            <w:r>
              <w:rPr>
                <w:rFonts w:ascii="Arial" w:hAnsi="Arial" w:cs="Arial"/>
                <w:kern w:val="1"/>
                <w:sz w:val="23"/>
                <w:szCs w:val="23"/>
              </w:rPr>
              <w:t xml:space="preserve">les deux </w:t>
            </w:r>
            <w:r w:rsidR="009E0E1E" w:rsidRPr="00AE6F7D">
              <w:rPr>
                <w:rFonts w:ascii="Arial" w:hAnsi="Arial" w:cs="Arial"/>
                <w:kern w:val="1"/>
                <w:sz w:val="23"/>
                <w:szCs w:val="23"/>
              </w:rPr>
              <w:t>étudiants X et Y n’ayant pas montré leur certificat</w:t>
            </w:r>
          </w:p>
          <w:p w14:paraId="6B69F18A" w14:textId="3933AC52" w:rsidR="009E0E1E" w:rsidRPr="00AE6F7D" w:rsidRDefault="008E4031" w:rsidP="00AE6F7D">
            <w:pPr>
              <w:pStyle w:val="Paragraphedeliste"/>
              <w:numPr>
                <w:ilvl w:val="0"/>
                <w:numId w:val="7"/>
              </w:numPr>
              <w:suppressAutoHyphens/>
              <w:spacing w:before="120"/>
              <w:ind w:right="282"/>
              <w:jc w:val="both"/>
              <w:rPr>
                <w:rFonts w:ascii="Arial" w:hAnsi="Arial" w:cs="Arial"/>
                <w:kern w:val="1"/>
                <w:sz w:val="23"/>
                <w:szCs w:val="23"/>
              </w:rPr>
            </w:pPr>
            <w:r>
              <w:rPr>
                <w:rFonts w:ascii="Arial" w:hAnsi="Arial" w:cs="Arial"/>
                <w:kern w:val="1"/>
                <w:sz w:val="23"/>
                <w:szCs w:val="23"/>
              </w:rPr>
              <w:t xml:space="preserve">un </w:t>
            </w:r>
            <w:r w:rsidR="009E0E1E" w:rsidRPr="00AE6F7D">
              <w:rPr>
                <w:rFonts w:ascii="Arial" w:hAnsi="Arial" w:cs="Arial"/>
                <w:kern w:val="1"/>
                <w:sz w:val="23"/>
                <w:szCs w:val="23"/>
              </w:rPr>
              <w:t>étudiant Z officiellement à jour de s</w:t>
            </w:r>
            <w:r w:rsidR="00662B5F">
              <w:rPr>
                <w:rFonts w:ascii="Arial" w:hAnsi="Arial" w:cs="Arial"/>
                <w:kern w:val="1"/>
                <w:sz w:val="23"/>
                <w:szCs w:val="23"/>
              </w:rPr>
              <w:t>a</w:t>
            </w:r>
            <w:r w:rsidR="009E0E1E" w:rsidRPr="00AE6F7D">
              <w:rPr>
                <w:rFonts w:ascii="Arial" w:hAnsi="Arial" w:cs="Arial"/>
                <w:kern w:val="1"/>
                <w:sz w:val="23"/>
                <w:szCs w:val="23"/>
              </w:rPr>
              <w:t xml:space="preserve"> vaccination</w:t>
            </w:r>
            <w:r w:rsidR="00662B5F">
              <w:rPr>
                <w:rFonts w:ascii="Arial" w:hAnsi="Arial" w:cs="Arial"/>
                <w:kern w:val="1"/>
                <w:sz w:val="23"/>
                <w:szCs w:val="23"/>
              </w:rPr>
              <w:t xml:space="preserve"> anti-tétanique</w:t>
            </w:r>
            <w:r w:rsidR="009E0E1E" w:rsidRPr="00AE6F7D">
              <w:rPr>
                <w:rFonts w:ascii="Arial" w:hAnsi="Arial" w:cs="Arial"/>
                <w:kern w:val="1"/>
                <w:sz w:val="23"/>
                <w:szCs w:val="23"/>
              </w:rPr>
              <w:t xml:space="preserve"> </w:t>
            </w:r>
          </w:p>
          <w:p w14:paraId="28E8967F" w14:textId="508F7C0A" w:rsidR="00EA65CC" w:rsidRDefault="00EA65CC" w:rsidP="00EA65CC">
            <w:pPr>
              <w:pStyle w:val="NormalWeb"/>
              <w:spacing w:before="120" w:after="120"/>
              <w:ind w:left="138" w:right="137"/>
              <w:jc w:val="left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Dès la fin de la manipulation,</w:t>
            </w:r>
            <w:r>
              <w:rPr>
                <w:rFonts w:ascii="Arial" w:hAnsi="Arial" w:cs="Arial"/>
                <w:bCs/>
                <w:color w:val="000000" w:themeColor="text1"/>
                <w:lang w:eastAsia="en-US"/>
              </w:rPr>
              <w:t xml:space="preserve"> donner les résultats</w:t>
            </w:r>
            <w:r w:rsidR="009E0E1E">
              <w:rPr>
                <w:rFonts w:ascii="Arial" w:hAnsi="Arial" w:cs="Arial"/>
                <w:bCs/>
                <w:color w:val="000000" w:themeColor="text1"/>
                <w:lang w:eastAsia="en-US"/>
              </w:rPr>
              <w:t>  (fichier</w:t>
            </w:r>
            <w:r w:rsidR="00662B5F">
              <w:rPr>
                <w:rFonts w:ascii="Arial" w:hAnsi="Arial" w:cs="Arial"/>
                <w:bCs/>
                <w:color w:val="000000" w:themeColor="text1"/>
                <w:lang w:eastAsia="en-US"/>
              </w:rPr>
              <w:t> </w:t>
            </w:r>
            <w:r w:rsidR="009E0E1E">
              <w:rPr>
                <w:rFonts w:ascii="Arial" w:hAnsi="Arial" w:cs="Arial"/>
                <w:bCs/>
                <w:color w:val="000000" w:themeColor="text1"/>
                <w:lang w:eastAsia="en-US"/>
              </w:rPr>
              <w:t xml:space="preserve"> </w:t>
            </w:r>
            <w:r w:rsidR="00662B5F">
              <w:rPr>
                <w:rFonts w:ascii="Arial" w:hAnsi="Arial" w:cs="Arial"/>
                <w:bCs/>
                <w:color w:val="000000" w:themeColor="text1"/>
                <w:lang w:eastAsia="en-US"/>
              </w:rPr>
              <w:t>« </w:t>
            </w:r>
            <w:r w:rsidR="009E0E1E">
              <w:rPr>
                <w:rFonts w:ascii="Arial" w:hAnsi="Arial" w:cs="Arial"/>
                <w:bCs/>
                <w:color w:val="000000" w:themeColor="text1"/>
                <w:lang w:eastAsia="en-US"/>
              </w:rPr>
              <w:t>tetanos</w:t>
            </w:r>
            <w:r w:rsidR="00AE6F7D">
              <w:rPr>
                <w:rFonts w:ascii="Arial" w:hAnsi="Arial" w:cs="Arial"/>
                <w:bCs/>
                <w:color w:val="000000" w:themeColor="text1"/>
                <w:lang w:eastAsia="en-US"/>
              </w:rPr>
              <w:t>_document_attente</w:t>
            </w:r>
            <w:r w:rsidR="00662B5F">
              <w:rPr>
                <w:rFonts w:ascii="Arial" w:hAnsi="Arial" w:cs="Arial"/>
                <w:bCs/>
                <w:color w:val="000000" w:themeColor="text1"/>
                <w:lang w:eastAsia="en-US"/>
              </w:rPr>
              <w:t> »</w:t>
            </w:r>
            <w:r w:rsidR="009E0E1E">
              <w:rPr>
                <w:rFonts w:ascii="Arial" w:hAnsi="Arial" w:cs="Arial"/>
                <w:bCs/>
                <w:color w:val="000000" w:themeColor="text1"/>
                <w:lang w:eastAsia="en-US"/>
              </w:rPr>
              <w:t>)</w:t>
            </w:r>
          </w:p>
          <w:p w14:paraId="6FEB937B" w14:textId="35946D8E" w:rsidR="00EA65CC" w:rsidRPr="00B87E20" w:rsidRDefault="00EA65CC" w:rsidP="00AE6F7D">
            <w:pPr>
              <w:pStyle w:val="NormalWeb"/>
              <w:spacing w:before="120" w:after="120"/>
              <w:ind w:left="138" w:right="137"/>
              <w:jc w:val="left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EA65CC">
              <w:rPr>
                <w:rFonts w:ascii="Arial" w:hAnsi="Arial" w:cs="Arial"/>
                <w:b/>
                <w:color w:val="000000" w:themeColor="text1"/>
                <w:lang w:eastAsia="en-US"/>
              </w:rPr>
              <w:t xml:space="preserve">À l’issue de la communication, </w:t>
            </w:r>
            <w:r w:rsidRPr="00EA65CC">
              <w:rPr>
                <w:rFonts w:ascii="Arial" w:hAnsi="Arial" w:cs="Arial"/>
                <w:color w:val="000000" w:themeColor="text1"/>
                <w:lang w:eastAsia="en-US"/>
              </w:rPr>
              <w:t>donner la ressour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t>ce complémentaire.</w:t>
            </w:r>
          </w:p>
        </w:tc>
      </w:tr>
      <w:tr w:rsidR="00B917A4" w14:paraId="7CEF6FC3" w14:textId="77777777">
        <w:trPr>
          <w:trHeight w:val="870"/>
        </w:trPr>
        <w:tc>
          <w:tcPr>
            <w:tcW w:w="15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84EC" w14:textId="77777777" w:rsidR="00B917A4" w:rsidRDefault="009E443B">
            <w:pPr>
              <w:pStyle w:val="Grillemoyenne1-Accent21"/>
              <w:spacing w:before="120"/>
              <w:ind w:left="142"/>
              <w:jc w:val="left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Fiches : </w:t>
            </w:r>
          </w:p>
          <w:p w14:paraId="4C3EB30D" w14:textId="2FD5ABDA" w:rsidR="00C24C7F" w:rsidRPr="00807DF1" w:rsidRDefault="00C24C7F" w:rsidP="00C24C7F">
            <w:pPr>
              <w:pStyle w:val="Grillemoyenne1-Accent21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-1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07DF1">
              <w:rPr>
                <w:rFonts w:ascii="Arial" w:hAnsi="Arial" w:cs="Arial"/>
                <w:b/>
                <w:bCs/>
                <w:color w:val="000000" w:themeColor="text1"/>
              </w:rPr>
              <w:t>FP_Test_ouchterlony sans coulage.</w:t>
            </w:r>
            <w:r w:rsidR="00807DF1" w:rsidRPr="00807DF1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807DF1">
              <w:rPr>
                <w:rFonts w:ascii="Arial" w:hAnsi="Arial" w:cs="Arial"/>
                <w:i/>
                <w:iCs/>
                <w:sz w:val="24"/>
                <w:szCs w:val="24"/>
              </w:rPr>
              <w:t>La fiche est accessible dans l’espace TRIBU « Espace ECE SVT ».</w:t>
            </w:r>
          </w:p>
          <w:p w14:paraId="1AD1C7EC" w14:textId="1A3BB256" w:rsidR="00B917A4" w:rsidRDefault="00996F56" w:rsidP="00AE6F7D">
            <w:pPr>
              <w:pStyle w:val="Grillemoyenne1-Accent21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-1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76B99">
              <w:rPr>
                <w:rFonts w:ascii="Arial" w:hAnsi="Arial" w:cs="Arial"/>
                <w:bCs/>
                <w:sz w:val="24"/>
                <w:szCs w:val="24"/>
              </w:rPr>
              <w:t xml:space="preserve">Un dispositif d’acquisition numérique sera mis à disposition du candidat s’il l’a utilisé dans l’année </w:t>
            </w:r>
          </w:p>
        </w:tc>
      </w:tr>
    </w:tbl>
    <w:tbl>
      <w:tblPr>
        <w:tblW w:w="4956" w:type="pct"/>
        <w:tblInd w:w="137" w:type="dxa"/>
        <w:tblLook w:val="0000" w:firstRow="0" w:lastRow="0" w:firstColumn="0" w:lastColumn="0" w:noHBand="0" w:noVBand="0"/>
      </w:tblPr>
      <w:tblGrid>
        <w:gridCol w:w="6705"/>
        <w:gridCol w:w="4271"/>
        <w:gridCol w:w="4277"/>
      </w:tblGrid>
      <w:tr w:rsidR="009E5797" w:rsidRPr="00694320" w14:paraId="0BCF8915" w14:textId="77777777" w:rsidTr="009E5797">
        <w:tc>
          <w:tcPr>
            <w:tcW w:w="2198" w:type="pct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9DF6F7E" w14:textId="77777777" w:rsidR="009E5797" w:rsidRDefault="009E5797" w:rsidP="00AE5397">
            <w:pPr>
              <w:pStyle w:val="Corpsdetexte"/>
              <w:spacing w:before="120"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Sécurité : </w:t>
            </w:r>
          </w:p>
          <w:p w14:paraId="2159BAC9" w14:textId="77777777" w:rsidR="009E5797" w:rsidRDefault="009E5797" w:rsidP="00AE5397">
            <w:pPr>
              <w:pStyle w:val="Corpsdetexte"/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 w:rsidRPr="00C9766F">
              <w:rPr>
                <w:noProof/>
                <w:sz w:val="23"/>
                <w:szCs w:val="23"/>
              </w:rPr>
              <w:drawing>
                <wp:inline distT="0" distB="0" distL="0" distR="0" wp14:anchorId="25CB4B82" wp14:editId="7E99674E">
                  <wp:extent cx="844550" cy="990600"/>
                  <wp:effectExtent l="0" t="0" r="0" b="0"/>
                  <wp:docPr id="277921731" name="Image 2" descr="Une image contenant texte, Police, symbole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921731" name="Image 2" descr="Une image contenant texte, Police, symbole, conception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990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79C7" w14:textId="77777777" w:rsidR="009E5797" w:rsidRPr="00694320" w:rsidRDefault="009E5797" w:rsidP="00AE5397">
            <w:pPr>
              <w:pStyle w:val="western"/>
              <w:spacing w:before="120" w:after="120"/>
              <w:ind w:right="466"/>
              <w:rPr>
                <w:rFonts w:ascii="Arial" w:hAnsi="Arial" w:cs="Arial"/>
                <w:b/>
                <w:bCs/>
                <w:color w:val="FF0000"/>
              </w:rPr>
            </w:pPr>
            <w:r w:rsidRPr="00FF59C4">
              <w:rPr>
                <w:rFonts w:ascii="Arial" w:hAnsi="Arial" w:cs="Arial"/>
                <w:b/>
                <w:bCs/>
              </w:rPr>
              <w:t>Équipem</w:t>
            </w:r>
            <w:r>
              <w:rPr>
                <w:rFonts w:ascii="Arial" w:hAnsi="Arial" w:cs="Arial"/>
                <w:b/>
                <w:bCs/>
              </w:rPr>
              <w:t>ents de protection individuelle</w:t>
            </w:r>
          </w:p>
        </w:tc>
      </w:tr>
      <w:tr w:rsidR="009E5797" w:rsidRPr="00FF59C4" w14:paraId="643D7C02" w14:textId="77777777" w:rsidTr="009E5797">
        <w:trPr>
          <w:trHeight w:val="1865"/>
        </w:trPr>
        <w:tc>
          <w:tcPr>
            <w:tcW w:w="2198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3CAB08A" w14:textId="77777777" w:rsidR="009E5797" w:rsidRDefault="009E5797" w:rsidP="00AE5397">
            <w:pPr>
              <w:pStyle w:val="Corpsdetexte"/>
              <w:spacing w:before="120"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63AC" w14:textId="77777777" w:rsidR="009E5797" w:rsidRPr="00FF59C4" w:rsidRDefault="009E5797" w:rsidP="00AE5397">
            <w:pPr>
              <w:pStyle w:val="western"/>
              <w:spacing w:before="120" w:after="0"/>
              <w:ind w:right="466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  <w:color w:val="FF0000"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79B12A1F" wp14:editId="0B8E71BB">
                  <wp:simplePos x="0" y="0"/>
                  <wp:positionH relativeFrom="column">
                    <wp:posOffset>1546225</wp:posOffset>
                  </wp:positionH>
                  <wp:positionV relativeFrom="paragraph">
                    <wp:posOffset>371475</wp:posOffset>
                  </wp:positionV>
                  <wp:extent cx="611505" cy="611505"/>
                  <wp:effectExtent l="0" t="0" r="0" b="0"/>
                  <wp:wrapTight wrapText="bothSides">
                    <wp:wrapPolygon edited="0">
                      <wp:start x="5383" y="0"/>
                      <wp:lineTo x="0" y="4037"/>
                      <wp:lineTo x="0" y="17495"/>
                      <wp:lineTo x="5383" y="20860"/>
                      <wp:lineTo x="15477" y="20860"/>
                      <wp:lineTo x="20860" y="17495"/>
                      <wp:lineTo x="20860" y="4037"/>
                      <wp:lineTo x="15477" y="0"/>
                      <wp:lineTo x="5383" y="0"/>
                    </wp:wrapPolygon>
                  </wp:wrapTight>
                  <wp:docPr id="13" name="Image 2" descr="C:\Users\avialar\Documents\dossiers_travail\SVT\sécurité\pictogrammes\Pictogrammes2023_VGuili\blou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vialar\Documents\dossiers_travail\SVT\sécurité\pictogrammes\Pictogrammes2023_VGuili\blouse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</w:rPr>
              <w:t xml:space="preserve">Obligatoire dans une salle de travaux pratiques  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602E" w14:textId="77777777" w:rsidR="009E5797" w:rsidRPr="00FF59C4" w:rsidRDefault="009E5797" w:rsidP="00AE5397">
            <w:pPr>
              <w:pStyle w:val="western"/>
              <w:spacing w:before="120" w:after="0"/>
              <w:ind w:right="466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  <w:color w:val="FF0000"/>
                <w:lang w:eastAsia="fr-FR"/>
              </w:rPr>
              <w:drawing>
                <wp:inline distT="0" distB="0" distL="0" distR="0" wp14:anchorId="3C5871F5" wp14:editId="2818A842">
                  <wp:extent cx="720000" cy="720000"/>
                  <wp:effectExtent l="0" t="0" r="4445" b="4445"/>
                  <wp:docPr id="10" name="Image 19" descr="C:\Users\avialar\Documents\dossiers_travail\SVT\sécurité\pictogrammes\Pictogrammes2023_VGuili\lunett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vialar\Documents\dossiers_travail\SVT\sécurité\pictogrammes\Pictogrammes2023_VGuili\lunettes.pn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FF0000"/>
                <w:lang w:eastAsia="fr-FR"/>
              </w:rPr>
              <w:drawing>
                <wp:inline distT="0" distB="0" distL="0" distR="0" wp14:anchorId="54FBC72A" wp14:editId="5A147245">
                  <wp:extent cx="720000" cy="720000"/>
                  <wp:effectExtent l="0" t="0" r="4445" b="4445"/>
                  <wp:docPr id="12" name="Image 3" descr="C:\Users\avialar\Documents\dossiers_travail\SVT\sécurité\pictogrammes\Pictogrammes2023_VGuili\gant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vialar\Documents\dossiers_travail\SVT\sécurité\pictogrammes\Pictogrammes2023_VGuili\gants.png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1556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569"/>
      </w:tblGrid>
      <w:tr w:rsidR="00B917A4" w14:paraId="1965FE34" w14:textId="77777777">
        <w:trPr>
          <w:trHeight w:val="174"/>
        </w:trPr>
        <w:tc>
          <w:tcPr>
            <w:tcW w:w="1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F54507" w14:textId="5E12EB4F" w:rsidR="00B917A4" w:rsidRDefault="009E443B">
            <w:pPr>
              <w:spacing w:before="120" w:after="120"/>
              <w:rPr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lastRenderedPageBreak/>
              <w:t xml:space="preserve">Ressource complémentaire </w:t>
            </w:r>
          </w:p>
        </w:tc>
      </w:tr>
      <w:tr w:rsidR="00B917A4" w14:paraId="15034F9A" w14:textId="77777777">
        <w:trPr>
          <w:trHeight w:val="2876"/>
        </w:trPr>
        <w:tc>
          <w:tcPr>
            <w:tcW w:w="1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D080" w14:textId="77777777" w:rsidR="00B917A4" w:rsidRPr="00704BBD" w:rsidRDefault="00B917A4">
            <w:pPr>
              <w:rPr>
                <w:rFonts w:ascii="Arial" w:hAnsi="Arial" w:cs="Arial"/>
                <w:color w:val="000000"/>
                <w:sz w:val="10"/>
                <w:szCs w:val="10"/>
                <w:lang w:eastAsia="zh-CN"/>
              </w:rPr>
            </w:pPr>
          </w:p>
          <w:p w14:paraId="6435342D" w14:textId="4D6B89FB" w:rsidR="00200C74" w:rsidRDefault="00200C74" w:rsidP="00AE6F7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200C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zh-CN"/>
              </w:rPr>
              <w:t>Détection versus quantif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zh-CN"/>
              </w:rPr>
              <w:t>i</w:t>
            </w:r>
            <w:r w:rsidRPr="00200C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zh-CN"/>
              </w:rPr>
              <w:t>cation</w:t>
            </w:r>
          </w:p>
          <w:p w14:paraId="1AAFAD19" w14:textId="77777777" w:rsidR="00662B5F" w:rsidRPr="00200C74" w:rsidRDefault="00662B5F" w:rsidP="00AE6F7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048E14FF" w14:textId="1AB0F517" w:rsidR="00704BBD" w:rsidRDefault="00AE6F7D" w:rsidP="00C0608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704BBD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 xml:space="preserve">Le test d’immunodiffusion </w:t>
            </w:r>
            <w:r w:rsidR="00662B5F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 xml:space="preserve">d’Ouchterlony </w:t>
            </w:r>
            <w:r w:rsidRPr="00704BBD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 xml:space="preserve">permet de détecter les anticorps </w:t>
            </w:r>
            <w:r w:rsidR="00673A3C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 xml:space="preserve">antitétaniques </w:t>
            </w:r>
            <w:r w:rsidRPr="00704BBD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éventuellement présents, sans permett</w:t>
            </w:r>
            <w:r w:rsidR="00704BBD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r</w:t>
            </w:r>
            <w:r w:rsidRPr="00704BBD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 xml:space="preserve">e de les quantifier. </w:t>
            </w:r>
          </w:p>
          <w:p w14:paraId="3DACC6DF" w14:textId="61FE1B77" w:rsidR="00B917A4" w:rsidRDefault="00704BBD" w:rsidP="00C0608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Les laboratoires</w:t>
            </w:r>
            <w:r w:rsidR="00662B5F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 xml:space="preserve">utilisent des méthodes plus complexes </w:t>
            </w:r>
            <w:r w:rsidR="00662B5F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qui permettent non seulement de détecter mais aussi de doser les anticorps d’un individu.</w:t>
            </w:r>
            <w:r w:rsidR="00AE6F7D" w:rsidRPr="00704BBD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14:paraId="7B08E3F0" w14:textId="2BE312E6" w:rsidR="00704BBD" w:rsidRPr="00704BBD" w:rsidRDefault="00704BBD" w:rsidP="00C0608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704BBD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On estime que la quantité d'anticorps antitétaniques dans le sang doit être au moins de 0,05 UI.mL</w:t>
            </w:r>
            <w:r w:rsidRPr="00704BBD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eastAsia="zh-CN"/>
              </w:rPr>
              <w:t>-1</w:t>
            </w:r>
            <w:r w:rsidRPr="00704BBD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 xml:space="preserve"> pour que l'organisme soit efficacement protégé.</w:t>
            </w:r>
          </w:p>
          <w:p w14:paraId="285622F8" w14:textId="77777777" w:rsidR="00B917A4" w:rsidRPr="00704BBD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0B88424A" w14:textId="77777777" w:rsidR="00B917A4" w:rsidRPr="00704BBD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0563BB39" w14:textId="77777777" w:rsidR="00B917A4" w:rsidRPr="00704BBD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5E121EDF" w14:textId="77777777" w:rsidR="00B917A4" w:rsidRPr="00704BBD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78372E72" w14:textId="77777777" w:rsidR="00B917A4" w:rsidRPr="00704BBD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77FDB8A8" w14:textId="77777777" w:rsidR="00B917A4" w:rsidRPr="00704BBD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5BA1FEF0" w14:textId="77777777" w:rsidR="00B917A4" w:rsidRPr="00704BBD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70BE2B68" w14:textId="77777777" w:rsidR="00B917A4" w:rsidRPr="00704BBD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4A94160A" w14:textId="77777777" w:rsidR="00B917A4" w:rsidRPr="00704BBD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2E1E4EC8" w14:textId="77777777" w:rsidR="00B917A4" w:rsidRPr="00704BBD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5BC11DA1" w14:textId="77777777" w:rsidR="00B917A4" w:rsidRPr="00704BBD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1A9A9490" w14:textId="77777777" w:rsidR="00B917A4" w:rsidRPr="00704BBD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37422172" w14:textId="77777777" w:rsidR="00B917A4" w:rsidRPr="00704BBD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7F09D0AD" w14:textId="77777777" w:rsidR="00B917A4" w:rsidRPr="00704BBD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36977AE1" w14:textId="77777777" w:rsidR="00B917A4" w:rsidRPr="00704BBD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6C51D14B" w14:textId="77777777" w:rsidR="00B917A4" w:rsidRPr="00704BBD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19D715FF" w14:textId="77777777" w:rsidR="00B917A4" w:rsidRPr="00704BBD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6B7392E7" w14:textId="77777777" w:rsidR="00B917A4" w:rsidRPr="00704BBD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4BD79BC2" w14:textId="77777777" w:rsidR="00B917A4" w:rsidRPr="00704BBD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297F346D" w14:textId="77777777" w:rsidR="00B917A4" w:rsidRPr="00704BBD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100AF000" w14:textId="77777777" w:rsidR="00B917A4" w:rsidRPr="00704BBD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0EA5DE89" w14:textId="77777777" w:rsidR="00B917A4" w:rsidRPr="00704BBD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0C56D988" w14:textId="77777777" w:rsidR="00B917A4" w:rsidRPr="00704BBD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7AE3ECE0" w14:textId="77777777" w:rsidR="00B917A4" w:rsidRPr="00704BBD" w:rsidRDefault="00B917A4">
            <w:pPr>
              <w:jc w:val="right"/>
              <w:rPr>
                <w:rFonts w:ascii="Arial" w:hAnsi="Arial" w:cs="Arial"/>
                <w:strike/>
                <w:sz w:val="24"/>
                <w:szCs w:val="24"/>
                <w:lang w:eastAsia="zh-CN"/>
              </w:rPr>
            </w:pPr>
          </w:p>
        </w:tc>
      </w:tr>
    </w:tbl>
    <w:p w14:paraId="3B119519" w14:textId="77777777" w:rsidR="00B917A4" w:rsidRDefault="00B917A4">
      <w:pPr>
        <w:shd w:val="clear" w:color="auto" w:fill="FFFFFF"/>
        <w:jc w:val="left"/>
        <w:rPr>
          <w:rFonts w:ascii="Arial" w:eastAsia="Times New Roman" w:hAnsi="Arial" w:cs="Arial"/>
          <w:b/>
          <w:color w:val="FF0000"/>
          <w:szCs w:val="24"/>
          <w:u w:val="single"/>
        </w:rPr>
      </w:pPr>
    </w:p>
    <w:sectPr w:rsidR="00B917A4">
      <w:headerReference w:type="default" r:id="rId12"/>
      <w:pgSz w:w="16838" w:h="11906" w:orient="landscape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D98FE" w14:textId="77777777" w:rsidR="00A07B3D" w:rsidRDefault="00A07B3D">
      <w:r>
        <w:separator/>
      </w:r>
    </w:p>
  </w:endnote>
  <w:endnote w:type="continuationSeparator" w:id="0">
    <w:p w14:paraId="30C33EB8" w14:textId="77777777" w:rsidR="00A07B3D" w:rsidRDefault="00A0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1B14D" w14:textId="77777777" w:rsidR="00A07B3D" w:rsidRDefault="00A07B3D">
      <w:r>
        <w:separator/>
      </w:r>
    </w:p>
  </w:footnote>
  <w:footnote w:type="continuationSeparator" w:id="0">
    <w:p w14:paraId="7872D026" w14:textId="77777777" w:rsidR="00A07B3D" w:rsidRDefault="00A07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4484" w14:textId="7F48CE8E" w:rsidR="00B917A4" w:rsidRPr="009E0E1E" w:rsidRDefault="009E0E1E" w:rsidP="009E0E1E">
    <w:pPr>
      <w:pStyle w:val="Paragraphedeliste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tabs>
        <w:tab w:val="left" w:pos="2025"/>
        <w:tab w:val="center" w:pos="7699"/>
      </w:tabs>
      <w:ind w:left="0"/>
    </w:pPr>
    <w:bookmarkStart w:id="0" w:name="_Hlk212484748"/>
    <w:bookmarkStart w:id="1" w:name="_Hlk212484749"/>
    <w:r>
      <w:rPr>
        <w:rFonts w:ascii="Arial" w:hAnsi="Arial" w:cs="Arial"/>
        <w:b/>
        <w:bCs/>
        <w:sz w:val="24"/>
        <w:szCs w:val="24"/>
      </w:rPr>
      <w:t xml:space="preserve">Vaccination </w:t>
    </w:r>
    <w:r w:rsidR="0016630C">
      <w:rPr>
        <w:rFonts w:ascii="Arial" w:hAnsi="Arial" w:cs="Arial"/>
        <w:b/>
        <w:bCs/>
        <w:sz w:val="24"/>
        <w:szCs w:val="24"/>
      </w:rPr>
      <w:t>contre le tétanos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C20D8"/>
    <w:multiLevelType w:val="hybridMultilevel"/>
    <w:tmpl w:val="53E6139E"/>
    <w:lvl w:ilvl="0" w:tplc="639251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35E88"/>
    <w:multiLevelType w:val="hybridMultilevel"/>
    <w:tmpl w:val="83E2E4D6"/>
    <w:lvl w:ilvl="0" w:tplc="F1D2C6E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17497"/>
    <w:multiLevelType w:val="hybridMultilevel"/>
    <w:tmpl w:val="3FB2DEA0"/>
    <w:lvl w:ilvl="0" w:tplc="5B7280C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198DD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00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C04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833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4EC3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66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A12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81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B1951"/>
    <w:multiLevelType w:val="hybridMultilevel"/>
    <w:tmpl w:val="FEEEBE64"/>
    <w:lvl w:ilvl="0" w:tplc="040C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4" w15:restartNumberingAfterBreak="0">
    <w:nsid w:val="60427EDF"/>
    <w:multiLevelType w:val="hybridMultilevel"/>
    <w:tmpl w:val="333CFB6C"/>
    <w:lvl w:ilvl="0" w:tplc="C5887DE4">
      <w:numFmt w:val="bullet"/>
      <w:lvlText w:val=""/>
      <w:lvlJc w:val="left"/>
      <w:pPr>
        <w:ind w:left="503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5" w15:restartNumberingAfterBreak="0">
    <w:nsid w:val="743B49EE"/>
    <w:multiLevelType w:val="hybridMultilevel"/>
    <w:tmpl w:val="3F981010"/>
    <w:lvl w:ilvl="0" w:tplc="2098EA26">
      <w:numFmt w:val="bullet"/>
      <w:lvlText w:val="-"/>
      <w:lvlJc w:val="left"/>
      <w:pPr>
        <w:ind w:left="402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6" w15:restartNumberingAfterBreak="0">
    <w:nsid w:val="75B605D9"/>
    <w:multiLevelType w:val="hybridMultilevel"/>
    <w:tmpl w:val="F41A42AE"/>
    <w:lvl w:ilvl="0" w:tplc="902C653C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1854A67C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82883F04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E8244388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4264718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B60CAD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D9762F00">
      <w:start w:val="1"/>
      <w:numFmt w:val="none"/>
      <w:pStyle w:val="Titre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26C3AAA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E13EC856">
      <w:start w:val="1"/>
      <w:numFmt w:val="none"/>
      <w:pStyle w:val="Titre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7013A73"/>
    <w:multiLevelType w:val="multilevel"/>
    <w:tmpl w:val="169CAA4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386393">
    <w:abstractNumId w:val="6"/>
  </w:num>
  <w:num w:numId="2" w16cid:durableId="1107887535">
    <w:abstractNumId w:val="2"/>
  </w:num>
  <w:num w:numId="3" w16cid:durableId="418068148">
    <w:abstractNumId w:val="4"/>
  </w:num>
  <w:num w:numId="4" w16cid:durableId="627125349">
    <w:abstractNumId w:val="5"/>
  </w:num>
  <w:num w:numId="5" w16cid:durableId="1722552265">
    <w:abstractNumId w:val="0"/>
  </w:num>
  <w:num w:numId="6" w16cid:durableId="1097100598">
    <w:abstractNumId w:val="1"/>
  </w:num>
  <w:num w:numId="7" w16cid:durableId="1005399141">
    <w:abstractNumId w:val="3"/>
  </w:num>
  <w:num w:numId="8" w16cid:durableId="213143165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7A4"/>
    <w:rsid w:val="00065407"/>
    <w:rsid w:val="00101D8D"/>
    <w:rsid w:val="0016630C"/>
    <w:rsid w:val="00200C74"/>
    <w:rsid w:val="002123B2"/>
    <w:rsid w:val="00233CCC"/>
    <w:rsid w:val="002F1BD3"/>
    <w:rsid w:val="003F49CA"/>
    <w:rsid w:val="004673E4"/>
    <w:rsid w:val="00496505"/>
    <w:rsid w:val="004C506E"/>
    <w:rsid w:val="004C6490"/>
    <w:rsid w:val="005519EA"/>
    <w:rsid w:val="006241F7"/>
    <w:rsid w:val="00662B5F"/>
    <w:rsid w:val="00673A3C"/>
    <w:rsid w:val="00704BBD"/>
    <w:rsid w:val="007A2B53"/>
    <w:rsid w:val="00807DF1"/>
    <w:rsid w:val="008E4031"/>
    <w:rsid w:val="009804C5"/>
    <w:rsid w:val="00984053"/>
    <w:rsid w:val="00996F56"/>
    <w:rsid w:val="009E0E1E"/>
    <w:rsid w:val="009E443B"/>
    <w:rsid w:val="009E5797"/>
    <w:rsid w:val="00A07B3D"/>
    <w:rsid w:val="00A46F03"/>
    <w:rsid w:val="00AC31CE"/>
    <w:rsid w:val="00AE6F7D"/>
    <w:rsid w:val="00B615EB"/>
    <w:rsid w:val="00B76B99"/>
    <w:rsid w:val="00B87E20"/>
    <w:rsid w:val="00B917A4"/>
    <w:rsid w:val="00C06085"/>
    <w:rsid w:val="00C24C7F"/>
    <w:rsid w:val="00CD5DAC"/>
    <w:rsid w:val="00D0764B"/>
    <w:rsid w:val="00E17C76"/>
    <w:rsid w:val="00E24A49"/>
    <w:rsid w:val="00EA65CC"/>
    <w:rsid w:val="00ED7276"/>
    <w:rsid w:val="00EE2698"/>
    <w:rsid w:val="00FB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2F59D"/>
  <w15:docId w15:val="{3F9703C4-3048-47C7-B007-0F6B2C2A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center"/>
    </w:pPr>
    <w:rPr>
      <w:rFonts w:ascii="Calibri" w:eastAsia="Calibri" w:hAnsi="Calibri" w:cs="Calibri"/>
      <w:sz w:val="22"/>
      <w:szCs w:val="22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1"/>
    <w:qFormat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1"/>
    <w:qFormat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1"/>
    <w:qFormat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1">
    <w:name w:val="Titre 5 Car1"/>
    <w:basedOn w:val="Policepardfaut"/>
    <w:link w:val="Titre5"/>
    <w:rPr>
      <w:rFonts w:ascii="Cambria" w:hAnsi="Cambria" w:cs="Cambria"/>
      <w:color w:val="243F60"/>
      <w:sz w:val="22"/>
      <w:szCs w:val="22"/>
      <w:lang w:eastAsia="ar-SA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1">
    <w:name w:val="Titre 7 Car1"/>
    <w:basedOn w:val="Policepardfaut"/>
    <w:link w:val="Titre7"/>
    <w:rPr>
      <w:sz w:val="24"/>
      <w:szCs w:val="24"/>
      <w:lang w:eastAsia="ar-SA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1">
    <w:name w:val="Titre 9 Car1"/>
    <w:basedOn w:val="Policepardfaut"/>
    <w:link w:val="Titre9"/>
    <w:rPr>
      <w:rFonts w:ascii="Arial" w:hAnsi="Arial" w:cs="Arial"/>
      <w:sz w:val="22"/>
      <w:szCs w:val="22"/>
      <w:lang w:eastAsia="ar-SA"/>
    </w:rPr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1">
    <w:name w:val="En-tête Car1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PieddepageCar1">
    <w:name w:val="Pied de page Car1"/>
    <w:link w:val="Pieddepage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Calibri" w:eastAsia="Times New Roman" w:hAnsi="Calibri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  <w:sz w:val="20"/>
    </w:rPr>
  </w:style>
  <w:style w:type="character" w:customStyle="1" w:styleId="WW8Num4z1">
    <w:name w:val="WW8Num4z1"/>
    <w:rPr>
      <w:rFonts w:ascii="Courier New" w:hAnsi="Courier New"/>
      <w:sz w:val="20"/>
    </w:rPr>
  </w:style>
  <w:style w:type="character" w:customStyle="1" w:styleId="WW8Num4z2">
    <w:name w:val="WW8Num4z2"/>
    <w:rPr>
      <w:rFonts w:ascii="Wingdings" w:hAnsi="Wingdings"/>
      <w:sz w:val="20"/>
    </w:rPr>
  </w:style>
  <w:style w:type="character" w:customStyle="1" w:styleId="WW8Num5z0">
    <w:name w:val="WW8Num5z0"/>
    <w:rPr>
      <w:rFonts w:ascii="Arial" w:hAnsi="Arial" w:cs="Arial"/>
      <w:b/>
      <w:bCs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/>
      <w:b/>
      <w:bCs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/>
      <w:b/>
      <w:bCs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ascii="Calibri" w:eastAsia="Times New Roman" w:hAnsi="Calibri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  <w:sz w:val="20"/>
    </w:rPr>
  </w:style>
  <w:style w:type="character" w:customStyle="1" w:styleId="WW8Num13z1">
    <w:name w:val="WW8Num13z1"/>
    <w:rPr>
      <w:rFonts w:ascii="Courier New" w:hAnsi="Courier New"/>
      <w:sz w:val="20"/>
    </w:rPr>
  </w:style>
  <w:style w:type="character" w:customStyle="1" w:styleId="WW8Num13z2">
    <w:name w:val="WW8Num13z2"/>
    <w:rPr>
      <w:rFonts w:ascii="Wingdings" w:hAnsi="Wingdings"/>
      <w:sz w:val="20"/>
    </w:rPr>
  </w:style>
  <w:style w:type="character" w:customStyle="1" w:styleId="WW8Num14z0">
    <w:name w:val="WW8Num14z0"/>
    <w:rPr>
      <w:rFonts w:ascii="Arial" w:hAnsi="Arial" w:cs="Arial"/>
      <w:b/>
      <w:bCs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ascii="Calibri" w:eastAsia="Times New Roman" w:hAnsi="Calibri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9z0">
    <w:name w:val="WW8Num19z0"/>
    <w:rPr>
      <w:rFonts w:ascii="Symbol" w:hAnsi="Symbol"/>
      <w:sz w:val="20"/>
    </w:rPr>
  </w:style>
  <w:style w:type="character" w:customStyle="1" w:styleId="WW8Num19z1">
    <w:name w:val="WW8Num19z1"/>
    <w:rPr>
      <w:rFonts w:ascii="Courier New" w:hAnsi="Courier New"/>
      <w:sz w:val="20"/>
    </w:rPr>
  </w:style>
  <w:style w:type="character" w:customStyle="1" w:styleId="WW8Num19z2">
    <w:name w:val="WW8Num19z2"/>
    <w:rPr>
      <w:rFonts w:ascii="Wingdings" w:hAnsi="Wingdings"/>
      <w:sz w:val="20"/>
    </w:rPr>
  </w:style>
  <w:style w:type="character" w:customStyle="1" w:styleId="WW8Num20z0">
    <w:name w:val="WW8Num20z0"/>
    <w:rPr>
      <w:rFonts w:ascii="Calibri" w:eastAsia="Times New Roman" w:hAnsi="Calibri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Calibri" w:eastAsia="Times New Roman" w:hAnsi="Calibri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Calibri" w:eastAsia="Times New Roman" w:hAnsi="Calibri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Titre5Car">
    <w:name w:val="Titre 5 Car"/>
    <w:rPr>
      <w:rFonts w:ascii="Cambria" w:hAnsi="Cambria" w:cs="Cambria"/>
      <w:color w:val="243F60"/>
    </w:rPr>
  </w:style>
  <w:style w:type="character" w:customStyle="1" w:styleId="Titre7Car">
    <w:name w:val="Titre 7 Car"/>
    <w:rPr>
      <w:rFonts w:ascii="Times New Roman" w:hAnsi="Times New Roman" w:cs="Times New Roman"/>
      <w:sz w:val="24"/>
      <w:szCs w:val="24"/>
    </w:rPr>
  </w:style>
  <w:style w:type="character" w:customStyle="1" w:styleId="Titre9Car">
    <w:name w:val="Titre 9 Car"/>
    <w:rPr>
      <w:rFonts w:ascii="Arial" w:hAnsi="Arial" w:cs="Arial"/>
    </w:rPr>
  </w:style>
  <w:style w:type="character" w:styleId="Lienhypertexte">
    <w:name w:val="Hyperlink"/>
    <w:uiPriority w:val="99"/>
    <w:rPr>
      <w:rFonts w:cs="Times New Roman"/>
      <w:color w:val="0000FF"/>
      <w:u w:val="single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Pr>
      <w:rFonts w:cs="Times New Roman"/>
      <w:b/>
      <w:bCs/>
    </w:rPr>
  </w:style>
  <w:style w:type="character" w:customStyle="1" w:styleId="En-tteCar">
    <w:name w:val="En-tête Car"/>
    <w:rPr>
      <w:rFonts w:cs="Calibri"/>
    </w:rPr>
  </w:style>
  <w:style w:type="character" w:customStyle="1" w:styleId="PieddepageCar">
    <w:name w:val="Pied de page Car"/>
    <w:rPr>
      <w:rFonts w:cs="Calibri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sdetexte">
    <w:name w:val="Body Text"/>
    <w:basedOn w:val="Normal"/>
    <w:link w:val="CorpsdetexteCar"/>
    <w:pPr>
      <w:spacing w:after="120"/>
    </w:pPr>
    <w:rPr>
      <w:rFonts w:cs="Times New Roman"/>
    </w:r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Grillemoyenne1-Accent21">
    <w:name w:val="Grille moyenne 1 - Accent 21"/>
    <w:basedOn w:val="Normal"/>
    <w:qFormat/>
    <w:pPr>
      <w:ind w:left="720"/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sdetexte31">
    <w:name w:val="Corps de texte 31"/>
    <w:basedOn w:val="Normal"/>
    <w:rPr>
      <w:rFonts w:ascii="Times New Roman" w:eastAsia="Times New Roman" w:hAnsi="Times New Roman" w:cs="Times New Roman"/>
    </w:rPr>
  </w:style>
  <w:style w:type="paragraph" w:customStyle="1" w:styleId="Tramemoyenne1-Accent11">
    <w:name w:val="Trame moyenne 1 - Accent 11"/>
    <w:qFormat/>
    <w:pPr>
      <w:jc w:val="center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WW-Standard">
    <w:name w:val="WW-Standard"/>
    <w:pPr>
      <w:widowControl w:val="0"/>
      <w:jc w:val="center"/>
    </w:pPr>
    <w:rPr>
      <w:rFonts w:ascii="Calibri" w:eastAsia="Calibri" w:hAnsi="Calibri" w:cs="Calibri"/>
      <w:sz w:val="24"/>
      <w:szCs w:val="24"/>
      <w:lang w:val="de-DE" w:eastAsia="ar-SA"/>
    </w:rPr>
  </w:style>
  <w:style w:type="paragraph" w:styleId="En-tte">
    <w:name w:val="header"/>
    <w:basedOn w:val="Normal"/>
    <w:link w:val="En-tteCar1"/>
  </w:style>
  <w:style w:type="paragraph" w:styleId="Pieddepage">
    <w:name w:val="footer"/>
    <w:basedOn w:val="Normal"/>
    <w:link w:val="PieddepageCar1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rPr>
      <w:b/>
      <w:bCs/>
    </w:rPr>
  </w:style>
  <w:style w:type="paragraph" w:styleId="Titre">
    <w:name w:val="Title"/>
    <w:basedOn w:val="Normal"/>
    <w:next w:val="Sous-titre"/>
    <w:link w:val="TitreCar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Car">
    <w:name w:val="Titre Car"/>
    <w:link w:val="Titre"/>
    <w:rPr>
      <w:b/>
      <w:bCs/>
      <w:sz w:val="24"/>
      <w:szCs w:val="24"/>
      <w:lang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link w:val="Sous-titre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suivivisit">
    <w:name w:val="FollowedHyperlink"/>
    <w:uiPriority w:val="99"/>
    <w:semiHidden/>
    <w:unhideWhenUsed/>
    <w:rPr>
      <w:color w:val="800080"/>
      <w:u w:val="single"/>
    </w:r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rFonts w:cs="Times New Roman"/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Pr>
      <w:rFonts w:ascii="Calibri" w:eastAsia="Calibri" w:hAnsi="Calibri" w:cs="Calibri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Pr>
      <w:rFonts w:ascii="Calibri" w:eastAsia="Calibri" w:hAnsi="Calibri" w:cs="Calibri"/>
      <w:b/>
      <w:bCs/>
      <w:lang w:eastAsia="ar-SA"/>
    </w:rPr>
  </w:style>
  <w:style w:type="paragraph" w:customStyle="1" w:styleId="Listemoyenne2-Accent21">
    <w:name w:val="Liste moyenne 2 - Accent 21"/>
    <w:hidden/>
    <w:uiPriority w:val="99"/>
    <w:semiHidden/>
    <w:rPr>
      <w:rFonts w:ascii="Calibri" w:eastAsia="Calibri" w:hAnsi="Calibri" w:cs="Calibri"/>
      <w:sz w:val="22"/>
      <w:szCs w:val="22"/>
      <w:lang w:eastAsia="ar-SA"/>
    </w:rPr>
  </w:style>
  <w:style w:type="character" w:customStyle="1" w:styleId="CorpsdetexteCar">
    <w:name w:val="Corps de texte Car"/>
    <w:link w:val="Corpsdetexte"/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6z3">
    <w:name w:val="WW8Num16z3"/>
    <w:rsid w:val="0016630C"/>
    <w:rPr>
      <w:rFonts w:ascii="Symbol" w:hAnsi="Symbol" w:cs="Symbol" w:hint="default"/>
    </w:rPr>
  </w:style>
  <w:style w:type="paragraph" w:customStyle="1" w:styleId="western">
    <w:name w:val="western"/>
    <w:basedOn w:val="Normal"/>
    <w:rsid w:val="009E5797"/>
    <w:pPr>
      <w:spacing w:before="280" w:after="119"/>
    </w:pPr>
    <w:rPr>
      <w:rFonts w:eastAsia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1E88D-E070-4F62-B4C4-02A5D9E50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ECE_26_SVT</dc:creator>
  <cp:keywords/>
  <cp:lastModifiedBy>FLORIMOND Anne</cp:lastModifiedBy>
  <cp:revision>17</cp:revision>
  <dcterms:created xsi:type="dcterms:W3CDTF">2025-10-27T18:05:00Z</dcterms:created>
  <dcterms:modified xsi:type="dcterms:W3CDTF">2025-12-12T06:18:00Z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0x010100873AB55E0CC5DA459F57F5A42893F46A005A087D358B12CA4E82A8A8BA9B8A8CF200D3544DBFAD4F664AA25DF68E6D1F0A9E00689F2856DFEDCE40890FDCED81A7DFC900F734428F0E6ACB4EAAFA1F605D28DD0C</vt:lpwstr>
  </property>
  <property fmtid="{D5CDD505-2E9C-101B-9397-08002B2CF9AE}" pid="3" name="Description0">
    <vt:lpwstr>spécificité des enzymes digestives</vt:lpwstr>
  </property>
</Properties>
</file>