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6D6" w:rsidRPr="00BA1090" w:rsidRDefault="00BA1090" w:rsidP="00BA1090">
      <w:pPr>
        <w:jc w:val="center"/>
        <w:rPr>
          <w:sz w:val="28"/>
          <w:szCs w:val="28"/>
          <w:u w:val="single"/>
        </w:rPr>
      </w:pPr>
      <w:r w:rsidRPr="00BA1090">
        <w:rPr>
          <w:sz w:val="28"/>
          <w:szCs w:val="28"/>
          <w:u w:val="single"/>
        </w:rPr>
        <w:t>Questionnaire sur la Carte Pontarlier</w:t>
      </w:r>
    </w:p>
    <w:p w:rsidR="00BA1090" w:rsidRDefault="00BA1090" w:rsidP="00BA1090">
      <w:pPr>
        <w:jc w:val="center"/>
        <w:rPr>
          <w:sz w:val="28"/>
          <w:szCs w:val="28"/>
        </w:rPr>
      </w:pPr>
    </w:p>
    <w:p w:rsidR="00BA1090" w:rsidRDefault="00BA1090" w:rsidP="00BA1090">
      <w:pPr>
        <w:jc w:val="both"/>
        <w:rPr>
          <w:sz w:val="28"/>
          <w:szCs w:val="28"/>
        </w:rPr>
      </w:pPr>
      <w:r w:rsidRPr="00BA1090">
        <w:rPr>
          <w:sz w:val="28"/>
          <w:szCs w:val="28"/>
          <w:u w:val="single"/>
        </w:rPr>
        <w:t>Question 1 </w:t>
      </w:r>
      <w:r w:rsidRPr="00BA1090">
        <w:rPr>
          <w:sz w:val="28"/>
          <w:szCs w:val="28"/>
        </w:rPr>
        <w:t>: L</w:t>
      </w:r>
      <w:r>
        <w:rPr>
          <w:sz w:val="28"/>
          <w:szCs w:val="28"/>
        </w:rPr>
        <w:t xml:space="preserve">a carte de Pontarlier est située dans le Jura. Cette chaîne de montagnes est décrite comme une « ceinture de chevauchement-plissement ». </w:t>
      </w:r>
      <w:r w:rsidR="00CF129F">
        <w:rPr>
          <w:sz w:val="28"/>
          <w:szCs w:val="28"/>
        </w:rPr>
        <w:t>Que signifie cette dénomination ?</w:t>
      </w:r>
    </w:p>
    <w:p w:rsidR="00BA1090" w:rsidRDefault="00BA1090" w:rsidP="00BA1090">
      <w:pPr>
        <w:jc w:val="both"/>
        <w:rPr>
          <w:sz w:val="28"/>
          <w:szCs w:val="28"/>
        </w:rPr>
      </w:pPr>
      <w:r w:rsidRPr="00BA1090">
        <w:rPr>
          <w:sz w:val="28"/>
          <w:szCs w:val="28"/>
          <w:u w:val="single"/>
        </w:rPr>
        <w:t>Réponse </w:t>
      </w:r>
      <w:r w:rsidRPr="00BA1090">
        <w:rPr>
          <w:sz w:val="28"/>
          <w:szCs w:val="28"/>
        </w:rPr>
        <w:t>:  Comme</w:t>
      </w:r>
      <w:r>
        <w:rPr>
          <w:sz w:val="28"/>
          <w:szCs w:val="28"/>
        </w:rPr>
        <w:t xml:space="preserve"> l’indique son nom, il s’agit de domaines situés à la périphérie des systèmes orogéniques (notion de « ceinture ») et associant une couverture sédimentaire plissée à des failles inverses (notion de « chevauchement »). </w:t>
      </w:r>
      <w:r w:rsidR="00264ECC">
        <w:rPr>
          <w:sz w:val="28"/>
          <w:szCs w:val="28"/>
        </w:rPr>
        <w:t>Ces domaines sont de façon générale exempts de métamorphisme. Le Jura, situé à la périphérie de la chaîne alpine, est un exemple typique de la ceinture de chevauchement-plissement.</w:t>
      </w:r>
    </w:p>
    <w:p w:rsidR="00264ECC" w:rsidRDefault="00264ECC" w:rsidP="00BA1090">
      <w:pPr>
        <w:jc w:val="both"/>
        <w:rPr>
          <w:sz w:val="28"/>
          <w:szCs w:val="28"/>
        </w:rPr>
      </w:pPr>
      <w:r w:rsidRPr="00264ECC">
        <w:rPr>
          <w:sz w:val="28"/>
          <w:szCs w:val="28"/>
          <w:u w:val="single"/>
        </w:rPr>
        <w:t>Question 2</w:t>
      </w:r>
      <w:r>
        <w:rPr>
          <w:sz w:val="28"/>
          <w:szCs w:val="28"/>
        </w:rPr>
        <w:t> : Qu’est-ce qu’un niveau de décollement ? quel est le niveau de décollement majeur dans la chaîne du J</w:t>
      </w:r>
      <w:r w:rsidR="00D81417">
        <w:rPr>
          <w:sz w:val="28"/>
          <w:szCs w:val="28"/>
        </w:rPr>
        <w:t>ura ?</w:t>
      </w:r>
    </w:p>
    <w:p w:rsidR="00264ECC" w:rsidRDefault="00264ECC" w:rsidP="00BA1090">
      <w:pPr>
        <w:jc w:val="both"/>
        <w:rPr>
          <w:sz w:val="28"/>
          <w:szCs w:val="28"/>
        </w:rPr>
      </w:pPr>
      <w:r w:rsidRPr="00264ECC">
        <w:rPr>
          <w:sz w:val="28"/>
          <w:szCs w:val="28"/>
          <w:u w:val="single"/>
        </w:rPr>
        <w:t>Réponse</w:t>
      </w:r>
      <w:r>
        <w:rPr>
          <w:sz w:val="28"/>
          <w:szCs w:val="28"/>
        </w:rPr>
        <w:t xml:space="preserve"> : Un niveau de décollement est une couche ou ensemble de couches présentant un comportement ductile et permettant </w:t>
      </w:r>
      <w:r w:rsidR="00126CC8">
        <w:rPr>
          <w:sz w:val="28"/>
          <w:szCs w:val="28"/>
        </w:rPr>
        <w:t>de dé</w:t>
      </w:r>
      <w:r w:rsidR="00CA7E11">
        <w:rPr>
          <w:sz w:val="28"/>
          <w:szCs w:val="28"/>
        </w:rPr>
        <w:t xml:space="preserve">solidariser deux ensembles (de part et d’autre du niveau en question) au comportement différent. Dans le Jura (voir figure), le niveau de décollement principal est constitué par les couches </w:t>
      </w:r>
      <w:proofErr w:type="spellStart"/>
      <w:r w:rsidR="00CA7E11">
        <w:rPr>
          <w:sz w:val="28"/>
          <w:szCs w:val="28"/>
        </w:rPr>
        <w:t>évaporitiques</w:t>
      </w:r>
      <w:proofErr w:type="spellEnd"/>
      <w:r w:rsidR="00CA7E11">
        <w:rPr>
          <w:sz w:val="28"/>
          <w:szCs w:val="28"/>
        </w:rPr>
        <w:t xml:space="preserve"> du Trias Supérieur (« </w:t>
      </w:r>
      <w:proofErr w:type="spellStart"/>
      <w:r w:rsidR="00CA7E11">
        <w:rPr>
          <w:sz w:val="28"/>
          <w:szCs w:val="28"/>
        </w:rPr>
        <w:t>Keuper</w:t>
      </w:r>
      <w:proofErr w:type="spellEnd"/>
      <w:r w:rsidR="00CA7E11">
        <w:rPr>
          <w:sz w:val="28"/>
          <w:szCs w:val="28"/>
        </w:rPr>
        <w:t> ») séparant un socle non déformé d’une couverture plissée et faillée (figure).</w:t>
      </w:r>
    </w:p>
    <w:p w:rsidR="00E93005" w:rsidRDefault="00E93005" w:rsidP="00BA1090">
      <w:pPr>
        <w:jc w:val="both"/>
        <w:rPr>
          <w:sz w:val="28"/>
          <w:szCs w:val="28"/>
        </w:rPr>
      </w:pPr>
    </w:p>
    <w:p w:rsidR="00E93005" w:rsidRDefault="00E93005" w:rsidP="00BA1090">
      <w:pPr>
        <w:jc w:val="both"/>
        <w:rPr>
          <w:sz w:val="28"/>
          <w:szCs w:val="28"/>
        </w:rPr>
      </w:pPr>
      <w:r>
        <w:rPr>
          <w:noProof/>
          <w:lang w:eastAsia="fr-FR"/>
        </w:rPr>
        <w:drawing>
          <wp:inline distT="0" distB="0" distL="0" distR="0" wp14:anchorId="2B7A1387" wp14:editId="29049EA2">
            <wp:extent cx="5760720" cy="18688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1868805"/>
                    </a:xfrm>
                    <a:prstGeom prst="rect">
                      <a:avLst/>
                    </a:prstGeom>
                  </pic:spPr>
                </pic:pic>
              </a:graphicData>
            </a:graphic>
          </wp:inline>
        </w:drawing>
      </w:r>
    </w:p>
    <w:p w:rsidR="00862F66" w:rsidRDefault="00862F66" w:rsidP="00BA1090">
      <w:pPr>
        <w:jc w:val="both"/>
        <w:rPr>
          <w:sz w:val="28"/>
          <w:szCs w:val="28"/>
          <w:u w:val="single"/>
        </w:rPr>
      </w:pPr>
    </w:p>
    <w:p w:rsidR="00E93005" w:rsidRDefault="00E93005" w:rsidP="00E93005">
      <w:pPr>
        <w:jc w:val="center"/>
        <w:rPr>
          <w:i/>
          <w:sz w:val="28"/>
          <w:szCs w:val="28"/>
        </w:rPr>
      </w:pPr>
      <w:r w:rsidRPr="00E93005">
        <w:rPr>
          <w:i/>
          <w:sz w:val="28"/>
          <w:szCs w:val="28"/>
        </w:rPr>
        <w:t xml:space="preserve">Extrait de la coupe historique de </w:t>
      </w:r>
      <w:proofErr w:type="spellStart"/>
      <w:r w:rsidRPr="00E93005">
        <w:rPr>
          <w:i/>
          <w:sz w:val="28"/>
          <w:szCs w:val="28"/>
        </w:rPr>
        <w:t>Buxtorf</w:t>
      </w:r>
      <w:proofErr w:type="spellEnd"/>
      <w:r w:rsidRPr="00E93005">
        <w:rPr>
          <w:i/>
          <w:sz w:val="28"/>
          <w:szCs w:val="28"/>
        </w:rPr>
        <w:t xml:space="preserve"> (1916)</w:t>
      </w:r>
      <w:r>
        <w:rPr>
          <w:i/>
          <w:sz w:val="28"/>
          <w:szCs w:val="28"/>
        </w:rPr>
        <w:t xml:space="preserve"> illustrant la notion de niveau de décollement. On notera qu’une partie de la couverture (située sous le niveau de décollement) est restée adhérente au socle, c’est la notion de « tégument ». </w:t>
      </w:r>
    </w:p>
    <w:p w:rsidR="00467598" w:rsidRDefault="00467598" w:rsidP="00E93005">
      <w:pPr>
        <w:jc w:val="center"/>
        <w:rPr>
          <w:i/>
          <w:sz w:val="28"/>
          <w:szCs w:val="28"/>
        </w:rPr>
      </w:pPr>
    </w:p>
    <w:p w:rsidR="00467598" w:rsidRDefault="00467598" w:rsidP="00467598">
      <w:pPr>
        <w:jc w:val="both"/>
        <w:rPr>
          <w:sz w:val="28"/>
          <w:szCs w:val="28"/>
        </w:rPr>
      </w:pPr>
      <w:r w:rsidRPr="00467598">
        <w:rPr>
          <w:sz w:val="28"/>
          <w:szCs w:val="28"/>
          <w:u w:val="single"/>
        </w:rPr>
        <w:lastRenderedPageBreak/>
        <w:t>Question 3</w:t>
      </w:r>
      <w:r>
        <w:rPr>
          <w:sz w:val="28"/>
          <w:szCs w:val="28"/>
        </w:rPr>
        <w:t xml:space="preserve"> : </w:t>
      </w:r>
      <w:r w:rsidR="00D81417">
        <w:rPr>
          <w:sz w:val="28"/>
          <w:szCs w:val="28"/>
        </w:rPr>
        <w:t xml:space="preserve">Qu’est qu’un pli </w:t>
      </w:r>
      <w:proofErr w:type="spellStart"/>
      <w:r w:rsidR="00D81417">
        <w:rPr>
          <w:sz w:val="28"/>
          <w:szCs w:val="28"/>
        </w:rPr>
        <w:t>isopaque</w:t>
      </w:r>
      <w:proofErr w:type="spellEnd"/>
      <w:r w:rsidR="00D81417">
        <w:rPr>
          <w:sz w:val="28"/>
          <w:szCs w:val="28"/>
        </w:rPr>
        <w:t xml:space="preserve"> ? Peut-on empiler à l’infini des plis </w:t>
      </w:r>
      <w:proofErr w:type="spellStart"/>
      <w:r w:rsidR="00D81417">
        <w:rPr>
          <w:sz w:val="28"/>
          <w:szCs w:val="28"/>
        </w:rPr>
        <w:t>isopaques</w:t>
      </w:r>
      <w:proofErr w:type="spellEnd"/>
      <w:r w:rsidR="00D81417">
        <w:rPr>
          <w:sz w:val="28"/>
          <w:szCs w:val="28"/>
        </w:rPr>
        <w:t> ?</w:t>
      </w:r>
    </w:p>
    <w:p w:rsidR="00D81417" w:rsidRDefault="00D81417" w:rsidP="00467598">
      <w:pPr>
        <w:jc w:val="both"/>
        <w:rPr>
          <w:sz w:val="28"/>
          <w:szCs w:val="28"/>
        </w:rPr>
      </w:pPr>
      <w:r w:rsidRPr="00D81417">
        <w:rPr>
          <w:sz w:val="28"/>
          <w:szCs w:val="28"/>
          <w:u w:val="single"/>
        </w:rPr>
        <w:t>Réponse</w:t>
      </w:r>
      <w:r>
        <w:rPr>
          <w:sz w:val="28"/>
          <w:szCs w:val="28"/>
        </w:rPr>
        <w:t xml:space="preserve"> : Un pli </w:t>
      </w:r>
      <w:proofErr w:type="spellStart"/>
      <w:r>
        <w:rPr>
          <w:sz w:val="28"/>
          <w:szCs w:val="28"/>
        </w:rPr>
        <w:t>isopaque</w:t>
      </w:r>
      <w:proofErr w:type="spellEnd"/>
      <w:r>
        <w:rPr>
          <w:sz w:val="28"/>
          <w:szCs w:val="28"/>
        </w:rPr>
        <w:t xml:space="preserve"> est un pli conservant la longueur et l’épaisseur des couches sédimentaires. Non, il y a une limite à l’empilement des plis </w:t>
      </w:r>
      <w:proofErr w:type="spellStart"/>
      <w:r>
        <w:rPr>
          <w:sz w:val="28"/>
          <w:szCs w:val="28"/>
        </w:rPr>
        <w:t>isopaques</w:t>
      </w:r>
      <w:proofErr w:type="spellEnd"/>
      <w:r w:rsidR="00ED4783">
        <w:rPr>
          <w:sz w:val="28"/>
          <w:szCs w:val="28"/>
        </w:rPr>
        <w:t xml:space="preserve">. Lorsque le plissement est concentrique cette limite est le centre de courbure (figure). </w:t>
      </w:r>
      <w:r>
        <w:rPr>
          <w:sz w:val="28"/>
          <w:szCs w:val="28"/>
        </w:rPr>
        <w:t xml:space="preserve"> </w:t>
      </w:r>
      <w:r w:rsidR="00ED4783">
        <w:rPr>
          <w:sz w:val="28"/>
          <w:szCs w:val="28"/>
        </w:rPr>
        <w:t>Si on s’affranchit de la conservation des épaisseurs des couches, alors l’empilement « à l’infini » est théoriquement possible (figure).</w:t>
      </w:r>
    </w:p>
    <w:p w:rsidR="001F3257" w:rsidRDefault="001F3257" w:rsidP="00467598">
      <w:pPr>
        <w:jc w:val="both"/>
        <w:rPr>
          <w:sz w:val="28"/>
          <w:szCs w:val="28"/>
        </w:rPr>
      </w:pPr>
      <w:r>
        <w:rPr>
          <w:noProof/>
          <w:lang w:eastAsia="fr-FR"/>
        </w:rPr>
        <w:drawing>
          <wp:inline distT="0" distB="0" distL="0" distR="0" wp14:anchorId="4572DA9F" wp14:editId="167AA3E5">
            <wp:extent cx="5760720" cy="300863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008630"/>
                    </a:xfrm>
                    <a:prstGeom prst="rect">
                      <a:avLst/>
                    </a:prstGeom>
                  </pic:spPr>
                </pic:pic>
              </a:graphicData>
            </a:graphic>
          </wp:inline>
        </w:drawing>
      </w:r>
    </w:p>
    <w:p w:rsidR="00ED4783" w:rsidRDefault="00ED4783" w:rsidP="00ED4783">
      <w:pPr>
        <w:jc w:val="center"/>
        <w:rPr>
          <w:i/>
          <w:sz w:val="28"/>
          <w:szCs w:val="28"/>
        </w:rPr>
      </w:pPr>
      <w:r w:rsidRPr="00ED4783">
        <w:rPr>
          <w:i/>
          <w:sz w:val="28"/>
          <w:szCs w:val="28"/>
        </w:rPr>
        <w:t xml:space="preserve">Modèle de pli </w:t>
      </w:r>
      <w:proofErr w:type="spellStart"/>
      <w:r w:rsidRPr="00ED4783">
        <w:rPr>
          <w:i/>
          <w:sz w:val="28"/>
          <w:szCs w:val="28"/>
        </w:rPr>
        <w:t>isopaque</w:t>
      </w:r>
      <w:proofErr w:type="spellEnd"/>
      <w:r w:rsidRPr="00ED4783">
        <w:rPr>
          <w:i/>
          <w:sz w:val="28"/>
          <w:szCs w:val="28"/>
        </w:rPr>
        <w:t xml:space="preserve"> </w:t>
      </w:r>
      <w:r w:rsidRPr="0014324C">
        <w:rPr>
          <w:i/>
          <w:sz w:val="28"/>
          <w:szCs w:val="28"/>
          <w:u w:val="single"/>
        </w:rPr>
        <w:t>ET</w:t>
      </w:r>
      <w:r w:rsidRPr="00ED4783">
        <w:rPr>
          <w:i/>
          <w:sz w:val="28"/>
          <w:szCs w:val="28"/>
        </w:rPr>
        <w:t xml:space="preserve"> concentrique</w:t>
      </w:r>
    </w:p>
    <w:p w:rsidR="00240C8F" w:rsidRDefault="00240C8F" w:rsidP="00ED4783">
      <w:pPr>
        <w:jc w:val="center"/>
        <w:rPr>
          <w:i/>
          <w:sz w:val="28"/>
          <w:szCs w:val="28"/>
        </w:rPr>
      </w:pPr>
      <w:r>
        <w:rPr>
          <w:noProof/>
          <w:lang w:eastAsia="fr-FR"/>
        </w:rPr>
        <w:drawing>
          <wp:inline distT="0" distB="0" distL="0" distR="0" wp14:anchorId="434CE303" wp14:editId="7355E335">
            <wp:extent cx="3036555" cy="260477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4221" cy="2619924"/>
                    </a:xfrm>
                    <a:prstGeom prst="rect">
                      <a:avLst/>
                    </a:prstGeom>
                  </pic:spPr>
                </pic:pic>
              </a:graphicData>
            </a:graphic>
          </wp:inline>
        </w:drawing>
      </w:r>
    </w:p>
    <w:p w:rsidR="00240C8F" w:rsidRDefault="00240C8F" w:rsidP="00ED4783">
      <w:pPr>
        <w:jc w:val="center"/>
        <w:rPr>
          <w:i/>
          <w:sz w:val="28"/>
          <w:szCs w:val="28"/>
        </w:rPr>
      </w:pPr>
      <w:r>
        <w:rPr>
          <w:i/>
          <w:sz w:val="28"/>
          <w:szCs w:val="28"/>
        </w:rPr>
        <w:t>Exemples de plis dits « semblables » montrant un épaississement des charnières et un amincissement des flancs des plis ce qui, théoriquement du moins, permet leur empilement sans limite.</w:t>
      </w:r>
    </w:p>
    <w:p w:rsidR="00F96091" w:rsidRDefault="00F96091" w:rsidP="00F96091">
      <w:pPr>
        <w:jc w:val="both"/>
        <w:rPr>
          <w:sz w:val="28"/>
          <w:szCs w:val="28"/>
        </w:rPr>
      </w:pPr>
      <w:r w:rsidRPr="00F96091">
        <w:rPr>
          <w:sz w:val="28"/>
          <w:szCs w:val="28"/>
          <w:u w:val="single"/>
        </w:rPr>
        <w:t>Question 4</w:t>
      </w:r>
      <w:r>
        <w:rPr>
          <w:sz w:val="28"/>
          <w:szCs w:val="28"/>
        </w:rPr>
        <w:t xml:space="preserve"> : Est-ce qu’un pli coffré est un pli </w:t>
      </w:r>
      <w:proofErr w:type="spellStart"/>
      <w:r>
        <w:rPr>
          <w:sz w:val="28"/>
          <w:szCs w:val="28"/>
        </w:rPr>
        <w:t>isopaque</w:t>
      </w:r>
      <w:proofErr w:type="spellEnd"/>
      <w:r>
        <w:rPr>
          <w:sz w:val="28"/>
          <w:szCs w:val="28"/>
        </w:rPr>
        <w:t> ?</w:t>
      </w:r>
    </w:p>
    <w:p w:rsidR="00F96091" w:rsidRDefault="00F96091" w:rsidP="00F96091">
      <w:pPr>
        <w:jc w:val="both"/>
        <w:rPr>
          <w:sz w:val="28"/>
          <w:szCs w:val="28"/>
        </w:rPr>
      </w:pPr>
      <w:r w:rsidRPr="00D7762B">
        <w:rPr>
          <w:sz w:val="28"/>
          <w:szCs w:val="28"/>
        </w:rPr>
        <w:t>Réponse </w:t>
      </w:r>
      <w:r>
        <w:rPr>
          <w:sz w:val="28"/>
          <w:szCs w:val="28"/>
        </w:rPr>
        <w:t xml:space="preserve">: Pas forcément, on peut théoriquement imaginer un pli coffré non </w:t>
      </w:r>
      <w:proofErr w:type="spellStart"/>
      <w:r>
        <w:rPr>
          <w:sz w:val="28"/>
          <w:szCs w:val="28"/>
        </w:rPr>
        <w:t>isopaque</w:t>
      </w:r>
      <w:proofErr w:type="spellEnd"/>
      <w:r w:rsidR="00D7762B">
        <w:rPr>
          <w:sz w:val="28"/>
          <w:szCs w:val="28"/>
        </w:rPr>
        <w:t xml:space="preserve">. Néanmoins, dans le cas du Jura, les plis coffrés sont des plis </w:t>
      </w:r>
      <w:proofErr w:type="spellStart"/>
      <w:r w:rsidR="00D7762B">
        <w:rPr>
          <w:sz w:val="28"/>
          <w:szCs w:val="28"/>
        </w:rPr>
        <w:t>isopaque</w:t>
      </w:r>
      <w:proofErr w:type="spellEnd"/>
      <w:r w:rsidR="00D7762B">
        <w:rPr>
          <w:sz w:val="28"/>
          <w:szCs w:val="28"/>
        </w:rPr>
        <w:t>.</w:t>
      </w:r>
    </w:p>
    <w:p w:rsidR="00D7762B" w:rsidRDefault="00D7762B" w:rsidP="00F96091">
      <w:pPr>
        <w:jc w:val="both"/>
        <w:rPr>
          <w:sz w:val="28"/>
          <w:szCs w:val="28"/>
        </w:rPr>
      </w:pPr>
      <w:r w:rsidRPr="00D7762B">
        <w:rPr>
          <w:sz w:val="28"/>
          <w:szCs w:val="28"/>
          <w:u w:val="single"/>
        </w:rPr>
        <w:t>Question 5</w:t>
      </w:r>
      <w:r>
        <w:rPr>
          <w:sz w:val="28"/>
          <w:szCs w:val="28"/>
        </w:rPr>
        <w:t> : Pourquoi sur la carte Pontarlier est-il aisé de mesurer l’épaisseur des couches géologiques ?</w:t>
      </w:r>
    </w:p>
    <w:p w:rsidR="00D7762B" w:rsidRDefault="00D7762B" w:rsidP="00F96091">
      <w:pPr>
        <w:jc w:val="both"/>
        <w:rPr>
          <w:sz w:val="28"/>
          <w:szCs w:val="28"/>
        </w:rPr>
      </w:pPr>
      <w:r>
        <w:rPr>
          <w:sz w:val="28"/>
          <w:szCs w:val="28"/>
        </w:rPr>
        <w:t xml:space="preserve">Réponse : Parce que, dans les flancs verticaux des plis, l’épaisseur des couches est </w:t>
      </w:r>
      <w:proofErr w:type="gramStart"/>
      <w:r>
        <w:rPr>
          <w:sz w:val="28"/>
          <w:szCs w:val="28"/>
        </w:rPr>
        <w:t>égal</w:t>
      </w:r>
      <w:proofErr w:type="gramEnd"/>
      <w:r>
        <w:rPr>
          <w:sz w:val="28"/>
          <w:szCs w:val="28"/>
        </w:rPr>
        <w:t xml:space="preserve"> à leur largeur à l’affleurement (figure).</w:t>
      </w:r>
    </w:p>
    <w:p w:rsidR="00D7762B" w:rsidRDefault="00D7762B" w:rsidP="00D7762B">
      <w:pPr>
        <w:jc w:val="center"/>
        <w:rPr>
          <w:sz w:val="28"/>
          <w:szCs w:val="28"/>
        </w:rPr>
      </w:pPr>
      <w:r>
        <w:rPr>
          <w:noProof/>
          <w:lang w:eastAsia="fr-FR"/>
        </w:rPr>
        <w:drawing>
          <wp:inline distT="0" distB="0" distL="0" distR="0" wp14:anchorId="60A67F7C" wp14:editId="64CB47C3">
            <wp:extent cx="4617720" cy="179781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37409" cy="1805482"/>
                    </a:xfrm>
                    <a:prstGeom prst="rect">
                      <a:avLst/>
                    </a:prstGeom>
                  </pic:spPr>
                </pic:pic>
              </a:graphicData>
            </a:graphic>
          </wp:inline>
        </w:drawing>
      </w:r>
    </w:p>
    <w:p w:rsidR="00D7762B" w:rsidRDefault="00D7762B" w:rsidP="00D7762B">
      <w:pPr>
        <w:jc w:val="center"/>
        <w:rPr>
          <w:i/>
          <w:sz w:val="28"/>
          <w:szCs w:val="28"/>
        </w:rPr>
      </w:pPr>
      <w:r w:rsidRPr="00D7762B">
        <w:rPr>
          <w:i/>
          <w:sz w:val="28"/>
          <w:szCs w:val="28"/>
        </w:rPr>
        <w:t>Figure montrant que lorsqu’une couche est verticale son épaisseur (e) est toujours égale à sa largeur à l’affleurement (L)</w:t>
      </w:r>
    </w:p>
    <w:p w:rsidR="00CF129F" w:rsidRDefault="00CF129F" w:rsidP="00CF129F">
      <w:pPr>
        <w:jc w:val="both"/>
        <w:rPr>
          <w:sz w:val="28"/>
          <w:szCs w:val="28"/>
        </w:rPr>
      </w:pPr>
      <w:r w:rsidRPr="00CF129F">
        <w:rPr>
          <w:sz w:val="28"/>
          <w:szCs w:val="28"/>
          <w:u w:val="single"/>
        </w:rPr>
        <w:t>Question 6 :</w:t>
      </w:r>
      <w:r>
        <w:rPr>
          <w:sz w:val="28"/>
          <w:szCs w:val="28"/>
        </w:rPr>
        <w:t xml:space="preserve"> Quels types de failles sont observables sur la carte Pontarlier ? Quel type de failles est absent ?</w:t>
      </w:r>
    </w:p>
    <w:p w:rsidR="00CF129F" w:rsidRDefault="00CF129F" w:rsidP="00CF129F">
      <w:pPr>
        <w:jc w:val="both"/>
        <w:rPr>
          <w:sz w:val="28"/>
          <w:szCs w:val="28"/>
        </w:rPr>
      </w:pPr>
      <w:r>
        <w:rPr>
          <w:sz w:val="28"/>
          <w:szCs w:val="28"/>
        </w:rPr>
        <w:t xml:space="preserve">Réponse : On observe une grande faille </w:t>
      </w:r>
      <w:proofErr w:type="spellStart"/>
      <w:r>
        <w:rPr>
          <w:sz w:val="28"/>
          <w:szCs w:val="28"/>
        </w:rPr>
        <w:t>décrochante</w:t>
      </w:r>
      <w:proofErr w:type="spellEnd"/>
      <w:r>
        <w:rPr>
          <w:sz w:val="28"/>
          <w:szCs w:val="28"/>
        </w:rPr>
        <w:t xml:space="preserve"> (la faille de Pontarlier) et quelques failles inverses. En revanche, Il n’y a pas de failles normales. On est en régime compressif pas en régime extensif.</w:t>
      </w:r>
    </w:p>
    <w:p w:rsidR="00CF129F" w:rsidRDefault="00CF129F" w:rsidP="00CF129F">
      <w:pPr>
        <w:jc w:val="both"/>
        <w:rPr>
          <w:sz w:val="28"/>
          <w:szCs w:val="28"/>
        </w:rPr>
      </w:pPr>
      <w:r>
        <w:rPr>
          <w:noProof/>
          <w:lang w:eastAsia="fr-FR"/>
        </w:rPr>
        <w:t xml:space="preserve">                                                                      </w:t>
      </w:r>
      <w:r>
        <w:rPr>
          <w:noProof/>
          <w:lang w:eastAsia="fr-FR"/>
        </w:rPr>
        <w:drawing>
          <wp:inline distT="0" distB="0" distL="0" distR="0" wp14:anchorId="7FDD257C" wp14:editId="61F408B8">
            <wp:extent cx="1162050" cy="2905125"/>
            <wp:effectExtent l="0" t="0" r="0" b="9525"/>
            <wp:docPr id="6" name="Image 6" descr="Faill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lle — Wikipé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2905125"/>
                    </a:xfrm>
                    <a:prstGeom prst="rect">
                      <a:avLst/>
                    </a:prstGeom>
                    <a:noFill/>
                    <a:ln>
                      <a:noFill/>
                    </a:ln>
                  </pic:spPr>
                </pic:pic>
              </a:graphicData>
            </a:graphic>
          </wp:inline>
        </w:drawing>
      </w:r>
    </w:p>
    <w:p w:rsidR="00D7762B" w:rsidRPr="00CF129F" w:rsidRDefault="00CF129F" w:rsidP="00CF129F">
      <w:pPr>
        <w:jc w:val="both"/>
        <w:rPr>
          <w:sz w:val="28"/>
          <w:szCs w:val="28"/>
        </w:rPr>
      </w:pPr>
      <w:r>
        <w:rPr>
          <w:noProof/>
          <w:lang w:eastAsia="fr-FR"/>
        </w:rPr>
        <w:t xml:space="preserve">                                                          </w:t>
      </w:r>
    </w:p>
    <w:p w:rsidR="00D7762B" w:rsidRDefault="00D7762B" w:rsidP="00D7762B">
      <w:pPr>
        <w:rPr>
          <w:sz w:val="28"/>
          <w:szCs w:val="28"/>
          <w:u w:val="single"/>
        </w:rPr>
      </w:pPr>
      <w:r w:rsidRPr="00D7762B">
        <w:rPr>
          <w:sz w:val="28"/>
          <w:szCs w:val="28"/>
          <w:u w:val="single"/>
        </w:rPr>
        <w:t xml:space="preserve">POUR ALLER PLUS LOIN </w:t>
      </w:r>
    </w:p>
    <w:p w:rsidR="00D7762B" w:rsidRDefault="00D7762B" w:rsidP="00D7762B">
      <w:pPr>
        <w:jc w:val="both"/>
        <w:rPr>
          <w:sz w:val="28"/>
          <w:szCs w:val="28"/>
        </w:rPr>
      </w:pPr>
      <w:r>
        <w:rPr>
          <w:sz w:val="28"/>
          <w:szCs w:val="28"/>
          <w:u w:val="single"/>
        </w:rPr>
        <w:t xml:space="preserve">Question </w:t>
      </w:r>
      <w:r w:rsidR="00CF129F">
        <w:rPr>
          <w:sz w:val="28"/>
          <w:szCs w:val="28"/>
          <w:u w:val="single"/>
        </w:rPr>
        <w:t>7</w:t>
      </w:r>
      <w:r>
        <w:rPr>
          <w:sz w:val="28"/>
          <w:szCs w:val="28"/>
          <w:u w:val="single"/>
        </w:rPr>
        <w:t xml:space="preserve"> (difficile)</w:t>
      </w:r>
      <w:r w:rsidRPr="00D7762B">
        <w:rPr>
          <w:sz w:val="28"/>
          <w:szCs w:val="28"/>
        </w:rPr>
        <w:t> :</w:t>
      </w:r>
      <w:r>
        <w:rPr>
          <w:sz w:val="28"/>
          <w:szCs w:val="28"/>
        </w:rPr>
        <w:t xml:space="preserve"> Dans le Jura, le socle </w:t>
      </w:r>
      <w:proofErr w:type="spellStart"/>
      <w:r>
        <w:rPr>
          <w:sz w:val="28"/>
          <w:szCs w:val="28"/>
        </w:rPr>
        <w:t>varisque</w:t>
      </w:r>
      <w:proofErr w:type="spellEnd"/>
      <w:r>
        <w:rPr>
          <w:sz w:val="28"/>
          <w:szCs w:val="28"/>
        </w:rPr>
        <w:t xml:space="preserve"> n’est pas impliqué dans la déformation (ou bien très peu), on parle de style « épidermique » (traduction de l’anglais</w:t>
      </w:r>
      <w:r w:rsidR="008C6842">
        <w:rPr>
          <w:sz w:val="28"/>
          <w:szCs w:val="28"/>
        </w:rPr>
        <w:t xml:space="preserve"> « </w:t>
      </w:r>
      <w:proofErr w:type="spellStart"/>
      <w:r w:rsidR="008C6842">
        <w:rPr>
          <w:sz w:val="28"/>
          <w:szCs w:val="28"/>
        </w:rPr>
        <w:t>thin-skinned</w:t>
      </w:r>
      <w:proofErr w:type="spellEnd"/>
      <w:r w:rsidR="008C6842">
        <w:rPr>
          <w:sz w:val="28"/>
          <w:szCs w:val="28"/>
        </w:rPr>
        <w:t xml:space="preserve"> </w:t>
      </w:r>
      <w:proofErr w:type="spellStart"/>
      <w:r w:rsidR="008C6842">
        <w:rPr>
          <w:sz w:val="28"/>
          <w:szCs w:val="28"/>
        </w:rPr>
        <w:t>tectonics</w:t>
      </w:r>
      <w:proofErr w:type="spellEnd"/>
      <w:r w:rsidR="008C6842">
        <w:rPr>
          <w:sz w:val="28"/>
          <w:szCs w:val="28"/>
        </w:rPr>
        <w:t> »). Ce style particulier pose une question majeure. En effet, si l’on déplisse la couverture, on aura trop de couverture par rapport au socle… Comment résoudre ce paradoxe ?</w:t>
      </w:r>
    </w:p>
    <w:p w:rsidR="008C6842" w:rsidRDefault="008C6842" w:rsidP="00D7762B">
      <w:pPr>
        <w:jc w:val="both"/>
        <w:rPr>
          <w:sz w:val="28"/>
          <w:szCs w:val="28"/>
        </w:rPr>
      </w:pPr>
      <w:r>
        <w:rPr>
          <w:sz w:val="28"/>
          <w:szCs w:val="28"/>
        </w:rPr>
        <w:t xml:space="preserve">Réponse : Le découplage entre socle et couverture dans le Jura implique que le déficit de déformation du socle dans le Jura soit compensé latéralement dans les Alpes. Ainsi, le décollement majeur dans le Trias </w:t>
      </w:r>
      <w:r w:rsidR="0036651A">
        <w:rPr>
          <w:sz w:val="28"/>
          <w:szCs w:val="28"/>
        </w:rPr>
        <w:t xml:space="preserve">du Jura doit venir se brancher dans les Alpes sur une faille s’enfonçant dans le socle. </w:t>
      </w:r>
      <w:r w:rsidR="00CF129F">
        <w:rPr>
          <w:sz w:val="28"/>
          <w:szCs w:val="28"/>
        </w:rPr>
        <w:t xml:space="preserve">C’est effectivement ce qui s’observe dans les Alpes au niveau des « Massifs Cristallins Externes ». </w:t>
      </w:r>
      <w:r w:rsidR="00FE07DE">
        <w:rPr>
          <w:sz w:val="28"/>
          <w:szCs w:val="28"/>
        </w:rPr>
        <w:t>L’implication du socle est alors évidente puisque celui-ci forme les plus hauts</w:t>
      </w:r>
      <w:r w:rsidR="00CC158B">
        <w:rPr>
          <w:sz w:val="28"/>
          <w:szCs w:val="28"/>
        </w:rPr>
        <w:t xml:space="preserve"> sommets des Alpes (Mont Blanc ou massif de Belledonne) comme le montre la figure ci-dessous. Lorsque le socle est impliqué dans la déformation on parle de tectonique « pachydermique » (peau épaisse), traduction libre de « </w:t>
      </w:r>
      <w:proofErr w:type="spellStart"/>
      <w:r w:rsidR="00CC158B">
        <w:rPr>
          <w:sz w:val="28"/>
          <w:szCs w:val="28"/>
        </w:rPr>
        <w:t>thick-</w:t>
      </w:r>
      <w:proofErr w:type="gramStart"/>
      <w:r w:rsidR="00CC158B">
        <w:rPr>
          <w:sz w:val="28"/>
          <w:szCs w:val="28"/>
        </w:rPr>
        <w:t>skinned</w:t>
      </w:r>
      <w:proofErr w:type="spellEnd"/>
      <w:r w:rsidR="00CC158B">
        <w:rPr>
          <w:sz w:val="28"/>
          <w:szCs w:val="28"/>
        </w:rPr>
        <w:t>  tectonics</w:t>
      </w:r>
      <w:proofErr w:type="gramEnd"/>
      <w:r w:rsidR="00CC158B">
        <w:rPr>
          <w:sz w:val="28"/>
          <w:szCs w:val="28"/>
        </w:rPr>
        <w:t>.</w:t>
      </w:r>
      <w:bookmarkStart w:id="0" w:name="_GoBack"/>
      <w:bookmarkEnd w:id="0"/>
    </w:p>
    <w:p w:rsidR="00CC158B" w:rsidRPr="00D7762B" w:rsidRDefault="00CC158B" w:rsidP="00D7762B">
      <w:pPr>
        <w:jc w:val="both"/>
        <w:rPr>
          <w:sz w:val="28"/>
          <w:szCs w:val="28"/>
          <w:u w:val="single"/>
        </w:rPr>
      </w:pPr>
      <w:r>
        <w:rPr>
          <w:noProof/>
          <w:lang w:eastAsia="fr-FR"/>
        </w:rPr>
        <w:drawing>
          <wp:inline distT="0" distB="0" distL="0" distR="0" wp14:anchorId="7E025200" wp14:editId="54E515F1">
            <wp:extent cx="5760720" cy="24657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465705"/>
                    </a:xfrm>
                    <a:prstGeom prst="rect">
                      <a:avLst/>
                    </a:prstGeom>
                  </pic:spPr>
                </pic:pic>
              </a:graphicData>
            </a:graphic>
          </wp:inline>
        </w:drawing>
      </w:r>
    </w:p>
    <w:p w:rsidR="001F3257" w:rsidRDefault="001F3257" w:rsidP="00467598">
      <w:pPr>
        <w:jc w:val="both"/>
        <w:rPr>
          <w:sz w:val="28"/>
          <w:szCs w:val="28"/>
        </w:rPr>
      </w:pPr>
    </w:p>
    <w:p w:rsidR="001F3257" w:rsidRPr="00467598" w:rsidRDefault="001F3257" w:rsidP="00467598">
      <w:pPr>
        <w:jc w:val="both"/>
        <w:rPr>
          <w:sz w:val="28"/>
          <w:szCs w:val="28"/>
        </w:rPr>
      </w:pPr>
    </w:p>
    <w:sectPr w:rsidR="001F3257" w:rsidRPr="004675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090"/>
    <w:rsid w:val="00126CC8"/>
    <w:rsid w:val="0014324C"/>
    <w:rsid w:val="001F3257"/>
    <w:rsid w:val="00240C8F"/>
    <w:rsid w:val="00264ECC"/>
    <w:rsid w:val="0036651A"/>
    <w:rsid w:val="00467598"/>
    <w:rsid w:val="007676D6"/>
    <w:rsid w:val="00862F66"/>
    <w:rsid w:val="008C6842"/>
    <w:rsid w:val="00BA1090"/>
    <w:rsid w:val="00CA7E11"/>
    <w:rsid w:val="00CC158B"/>
    <w:rsid w:val="00CF129F"/>
    <w:rsid w:val="00D7762B"/>
    <w:rsid w:val="00D81417"/>
    <w:rsid w:val="00E93005"/>
    <w:rsid w:val="00ED4783"/>
    <w:rsid w:val="00F96091"/>
    <w:rsid w:val="00FE07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319C1"/>
  <w15:chartTrackingRefBased/>
  <w15:docId w15:val="{EABCA745-CF94-46FC-8AF0-0651C8062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F35E4-7C0B-4A92-B1F2-DAB5406F2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Pages>
  <Words>662</Words>
  <Characters>3642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Universite de Cergy-Pontoise</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FRIZON DE LAMOTTE Dominique</dc:creator>
  <cp:keywords/>
  <dc:description/>
  <cp:lastModifiedBy>FRIZON DE LAMOTTE Dominique</cp:lastModifiedBy>
  <cp:revision>14</cp:revision>
  <dcterms:created xsi:type="dcterms:W3CDTF">2020-10-13T05:40:00Z</dcterms:created>
  <dcterms:modified xsi:type="dcterms:W3CDTF">2020-10-13T08:05:00Z</dcterms:modified>
</cp:coreProperties>
</file>