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4E" w:rsidRPr="000B00E8" w:rsidRDefault="001E5663" w:rsidP="000B00E8">
      <w:pPr>
        <w:pBdr>
          <w:top w:val="single" w:sz="4" w:space="1" w:color="auto"/>
          <w:left w:val="single" w:sz="4" w:space="4" w:color="auto"/>
          <w:bottom w:val="single" w:sz="4" w:space="1" w:color="auto"/>
          <w:right w:val="single" w:sz="4" w:space="4" w:color="auto"/>
        </w:pBdr>
        <w:spacing w:after="0" w:line="240" w:lineRule="auto"/>
        <w:jc w:val="center"/>
        <w:rPr>
          <w:b/>
          <w:caps/>
        </w:rPr>
      </w:pPr>
      <w:r w:rsidRPr="000B00E8">
        <w:rPr>
          <w:b/>
          <w:caps/>
        </w:rPr>
        <w:t>Mise en évidence de la double nature organique et minérale du sol</w:t>
      </w:r>
    </w:p>
    <w:p w:rsidR="00116344" w:rsidRDefault="00116344" w:rsidP="00321C1E">
      <w:pPr>
        <w:spacing w:after="0" w:line="240" w:lineRule="auto"/>
      </w:pPr>
    </w:p>
    <w:p w:rsidR="000B00E8" w:rsidRPr="000B00E8" w:rsidRDefault="000B00E8" w:rsidP="00321C1E">
      <w:pPr>
        <w:spacing w:after="0" w:line="240" w:lineRule="auto"/>
        <w:rPr>
          <w:b/>
        </w:rPr>
      </w:pPr>
      <w:r w:rsidRPr="000B00E8">
        <w:rPr>
          <w:b/>
        </w:rPr>
        <w:t>Niveau concerné : 2</w:t>
      </w:r>
      <w:r w:rsidRPr="000B00E8">
        <w:rPr>
          <w:b/>
          <w:vertAlign w:val="superscript"/>
        </w:rPr>
        <w:t>nde</w:t>
      </w:r>
      <w:r w:rsidRPr="000B00E8">
        <w:rPr>
          <w:b/>
        </w:rPr>
        <w:t>.</w:t>
      </w:r>
    </w:p>
    <w:p w:rsidR="000B00E8" w:rsidRDefault="000B00E8" w:rsidP="00321C1E">
      <w:pPr>
        <w:spacing w:after="0" w:line="240" w:lineRule="auto"/>
      </w:pPr>
    </w:p>
    <w:p w:rsidR="000B00E8" w:rsidRDefault="000B00E8" w:rsidP="00321C1E">
      <w:pPr>
        <w:spacing w:after="0" w:line="240" w:lineRule="auto"/>
      </w:pPr>
    </w:p>
    <w:p w:rsidR="00321C1E" w:rsidRPr="00C9628A" w:rsidRDefault="00321C1E" w:rsidP="00321C1E">
      <w:pPr>
        <w:spacing w:after="0" w:line="240" w:lineRule="auto"/>
        <w:rPr>
          <w:b/>
        </w:rPr>
      </w:pPr>
      <w:r w:rsidRPr="000B00E8">
        <w:rPr>
          <w:b/>
          <w:u w:val="single"/>
        </w:rPr>
        <w:t>Objectif</w:t>
      </w:r>
      <w:r w:rsidRPr="00C9628A">
        <w:rPr>
          <w:b/>
        </w:rPr>
        <w:t> : montrer que le sol est un ensemble complexe constitué de fractions minérales de taille variable et de fractions organiques à différents stades de transformation</w:t>
      </w:r>
    </w:p>
    <w:p w:rsidR="00321C1E" w:rsidRDefault="00321C1E" w:rsidP="00321C1E">
      <w:pPr>
        <w:spacing w:after="0" w:line="240" w:lineRule="auto"/>
      </w:pPr>
    </w:p>
    <w:tbl>
      <w:tblPr>
        <w:tblStyle w:val="Grilledutableau"/>
        <w:tblW w:w="0" w:type="auto"/>
        <w:tblLook w:val="04A0"/>
      </w:tblPr>
      <w:tblGrid>
        <w:gridCol w:w="9778"/>
      </w:tblGrid>
      <w:tr w:rsidR="000B00E8" w:rsidTr="000B00E8">
        <w:tc>
          <w:tcPr>
            <w:tcW w:w="9778" w:type="dxa"/>
          </w:tcPr>
          <w:p w:rsidR="000B00E8" w:rsidRPr="00C9628A" w:rsidRDefault="000B00E8" w:rsidP="000B00E8">
            <w:pPr>
              <w:rPr>
                <w:b/>
                <w:u w:val="single"/>
              </w:rPr>
            </w:pPr>
            <w:r w:rsidRPr="00C9628A">
              <w:rPr>
                <w:b/>
                <w:u w:val="single"/>
              </w:rPr>
              <w:t>Matériel</w:t>
            </w:r>
          </w:p>
          <w:p w:rsidR="000B00E8" w:rsidRDefault="000B00E8" w:rsidP="000B00E8">
            <w:pPr>
              <w:pStyle w:val="Paragraphedeliste"/>
              <w:numPr>
                <w:ilvl w:val="0"/>
                <w:numId w:val="2"/>
              </w:numPr>
            </w:pPr>
            <w:r>
              <w:t>Eprouvettes</w:t>
            </w:r>
          </w:p>
          <w:p w:rsidR="000B00E8" w:rsidRDefault="000B00E8" w:rsidP="000B00E8">
            <w:pPr>
              <w:pStyle w:val="Paragraphedeliste"/>
              <w:numPr>
                <w:ilvl w:val="0"/>
                <w:numId w:val="2"/>
              </w:numPr>
            </w:pPr>
            <w:r>
              <w:t>Tamis de différentes tailles de maille</w:t>
            </w:r>
          </w:p>
          <w:p w:rsidR="000B00E8" w:rsidRDefault="000B00E8" w:rsidP="000B00E8">
            <w:pPr>
              <w:pStyle w:val="Paragraphedeliste"/>
              <w:numPr>
                <w:ilvl w:val="0"/>
                <w:numId w:val="2"/>
              </w:numPr>
            </w:pPr>
            <w:r>
              <w:t>Eventuellement de la soude (agent dispersant)</w:t>
            </w:r>
          </w:p>
          <w:p w:rsidR="000B00E8" w:rsidRDefault="000B00E8" w:rsidP="00321C1E">
            <w:pPr>
              <w:pStyle w:val="Paragraphedeliste"/>
              <w:numPr>
                <w:ilvl w:val="0"/>
                <w:numId w:val="2"/>
              </w:numPr>
            </w:pPr>
            <w:r>
              <w:t>Loupe binoculaire</w:t>
            </w:r>
          </w:p>
        </w:tc>
      </w:tr>
    </w:tbl>
    <w:p w:rsidR="00321C1E" w:rsidRDefault="00321C1E" w:rsidP="00321C1E">
      <w:pPr>
        <w:spacing w:after="0" w:line="240" w:lineRule="auto"/>
      </w:pPr>
    </w:p>
    <w:p w:rsidR="000B00E8" w:rsidRDefault="000B00E8" w:rsidP="00321C1E">
      <w:pPr>
        <w:spacing w:after="0" w:line="240" w:lineRule="auto"/>
      </w:pPr>
    </w:p>
    <w:p w:rsidR="00B51819" w:rsidRDefault="00B51819" w:rsidP="00321C1E">
      <w:pPr>
        <w:spacing w:after="0" w:line="240" w:lineRule="auto"/>
      </w:pPr>
      <w:r w:rsidRPr="00B51819">
        <w:rPr>
          <w:u w:val="single"/>
        </w:rPr>
        <w:t>Capacités travaillées</w:t>
      </w:r>
      <w:r>
        <w:t> : manipuler, suivre un protocole, utiliser une loupe binoculaire.</w:t>
      </w:r>
    </w:p>
    <w:p w:rsidR="00B51819" w:rsidRDefault="00B51819" w:rsidP="00321C1E">
      <w:pPr>
        <w:spacing w:after="0" w:line="240" w:lineRule="auto"/>
      </w:pPr>
    </w:p>
    <w:p w:rsidR="000B00E8" w:rsidRDefault="000B00E8" w:rsidP="00321C1E">
      <w:pPr>
        <w:spacing w:after="0" w:line="240" w:lineRule="auto"/>
      </w:pPr>
    </w:p>
    <w:p w:rsidR="00C9628A" w:rsidRPr="00C9628A" w:rsidRDefault="00321C1E" w:rsidP="00321C1E">
      <w:pPr>
        <w:spacing w:after="0" w:line="240" w:lineRule="auto"/>
        <w:rPr>
          <w:b/>
          <w:u w:val="single"/>
        </w:rPr>
      </w:pPr>
      <w:r w:rsidRPr="00C9628A">
        <w:rPr>
          <w:b/>
          <w:u w:val="single"/>
        </w:rPr>
        <w:t>Protocole</w:t>
      </w:r>
      <w:r w:rsidR="00116344" w:rsidRPr="00C9628A">
        <w:rPr>
          <w:b/>
          <w:u w:val="single"/>
        </w:rPr>
        <w:t xml:space="preserve"> de séparation granulométrique</w:t>
      </w:r>
    </w:p>
    <w:p w:rsidR="00321C1E" w:rsidRDefault="00C9628A" w:rsidP="00321C1E">
      <w:pPr>
        <w:spacing w:after="0" w:line="240" w:lineRule="auto"/>
      </w:pPr>
      <w:r>
        <w:t>C</w:t>
      </w:r>
      <w:r w:rsidR="00116344">
        <w:t>ette partie peut être réalisée par le professeur qui réparti ensuite les différentes fractions aux élèves ou être réalisée par les élèves sur de petits volumes (méthode des éprouvettes)</w:t>
      </w:r>
    </w:p>
    <w:p w:rsidR="00116344" w:rsidRDefault="00116344" w:rsidP="00321C1E">
      <w:pPr>
        <w:spacing w:after="0" w:line="240" w:lineRule="auto"/>
      </w:pPr>
    </w:p>
    <w:p w:rsidR="000B00E8" w:rsidRDefault="000B00E8" w:rsidP="00321C1E">
      <w:pPr>
        <w:spacing w:after="0" w:line="240" w:lineRule="auto"/>
      </w:pPr>
    </w:p>
    <w:p w:rsidR="00321C1E" w:rsidRDefault="00321C1E" w:rsidP="00321C1E">
      <w:pPr>
        <w:spacing w:after="0" w:line="240" w:lineRule="auto"/>
      </w:pPr>
      <w:r>
        <w:t>Une séparation granulométrique du sol peut se faire selon différentes méthodes.</w:t>
      </w:r>
    </w:p>
    <w:p w:rsidR="00321C1E" w:rsidRDefault="00321C1E" w:rsidP="00321C1E">
      <w:pPr>
        <w:spacing w:after="0" w:line="240" w:lineRule="auto"/>
      </w:pPr>
    </w:p>
    <w:p w:rsidR="00321C1E" w:rsidRDefault="00321C1E" w:rsidP="00321C1E">
      <w:pPr>
        <w:spacing w:after="0" w:line="240" w:lineRule="auto"/>
      </w:pPr>
      <w:r w:rsidRPr="00C9628A">
        <w:rPr>
          <w:u w:val="single"/>
        </w:rPr>
        <w:t>Si le sol est meuble</w:t>
      </w:r>
      <w:r>
        <w:t xml:space="preserve"> (sol sableux). Le tamis est utilisé directement après séchage du sol et destruction mécanique des agrégats.</w:t>
      </w:r>
    </w:p>
    <w:p w:rsidR="001E5663" w:rsidRDefault="001E5663" w:rsidP="00321C1E">
      <w:pPr>
        <w:spacing w:after="0" w:line="240" w:lineRule="auto"/>
      </w:pPr>
    </w:p>
    <w:p w:rsidR="00321C1E" w:rsidRDefault="00321C1E" w:rsidP="00321C1E">
      <w:pPr>
        <w:spacing w:after="0" w:line="240" w:lineRule="auto"/>
      </w:pPr>
      <w:r w:rsidRPr="00C9628A">
        <w:rPr>
          <w:u w:val="single"/>
        </w:rPr>
        <w:t>Si le sol est compact</w:t>
      </w:r>
      <w:r>
        <w:t xml:space="preserve"> (argileux). Deux méthodes :</w:t>
      </w:r>
    </w:p>
    <w:p w:rsidR="00C9628A" w:rsidRDefault="00C9628A" w:rsidP="00321C1E">
      <w:pPr>
        <w:spacing w:after="0" w:line="240" w:lineRule="auto"/>
      </w:pPr>
    </w:p>
    <w:p w:rsidR="00C9628A" w:rsidRDefault="006C3891" w:rsidP="00321C1E">
      <w:pPr>
        <w:spacing w:after="0" w:line="240" w:lineRule="auto"/>
      </w:pPr>
      <w:r w:rsidRPr="006C3891">
        <w:rPr>
          <w:rFonts w:cstheme="minorHAnsi"/>
        </w:rPr>
        <w:t>→</w:t>
      </w:r>
      <w:r w:rsidRPr="006C3891">
        <w:t xml:space="preserve"> </w:t>
      </w:r>
      <w:r w:rsidR="00C9628A" w:rsidRPr="00C9628A">
        <w:rPr>
          <w:u w:val="single"/>
        </w:rPr>
        <w:t>Par sédimentation</w:t>
      </w:r>
      <w:r w:rsidR="00C9628A">
        <w:t> :</w:t>
      </w:r>
    </w:p>
    <w:p w:rsidR="00321C1E" w:rsidRDefault="00321C1E" w:rsidP="00321C1E">
      <w:pPr>
        <w:pStyle w:val="Paragraphedeliste"/>
        <w:numPr>
          <w:ilvl w:val="0"/>
          <w:numId w:val="1"/>
        </w:numPr>
        <w:spacing w:after="0" w:line="240" w:lineRule="auto"/>
      </w:pPr>
      <w:r>
        <w:t>Remplir une éprouvette graduée de sol et d’eau (environ 2/3-1/3)</w:t>
      </w:r>
    </w:p>
    <w:p w:rsidR="00321C1E" w:rsidRDefault="00321C1E" w:rsidP="00321C1E">
      <w:pPr>
        <w:pStyle w:val="Paragraphedeliste"/>
        <w:numPr>
          <w:ilvl w:val="0"/>
          <w:numId w:val="1"/>
        </w:numPr>
        <w:spacing w:after="0" w:line="240" w:lineRule="auto"/>
      </w:pPr>
      <w:r>
        <w:t xml:space="preserve">Ajouter </w:t>
      </w:r>
      <w:r w:rsidR="00B51819">
        <w:t>quelques gouttes d’un</w:t>
      </w:r>
      <w:r>
        <w:t xml:space="preserve"> agent dispersant (le plus simple pour nous est la soude)</w:t>
      </w:r>
    </w:p>
    <w:p w:rsidR="00321C1E" w:rsidRDefault="00321C1E" w:rsidP="00321C1E">
      <w:pPr>
        <w:pStyle w:val="Paragraphedeliste"/>
        <w:numPr>
          <w:ilvl w:val="0"/>
          <w:numId w:val="1"/>
        </w:numPr>
        <w:spacing w:after="0" w:line="240" w:lineRule="auto"/>
      </w:pPr>
      <w:r>
        <w:t>Agiter énergiquement pendant plusieurs minutes afin de mettre en suspension toutes les particules.</w:t>
      </w:r>
    </w:p>
    <w:p w:rsidR="00321C1E" w:rsidRDefault="001E5663" w:rsidP="00321C1E">
      <w:pPr>
        <w:pStyle w:val="Paragraphedeliste"/>
        <w:numPr>
          <w:ilvl w:val="0"/>
          <w:numId w:val="1"/>
        </w:numPr>
        <w:spacing w:after="0" w:line="240" w:lineRule="auto"/>
      </w:pPr>
      <w:r>
        <w:t xml:space="preserve">Poser l’éprouvette, </w:t>
      </w:r>
      <w:r w:rsidR="00321C1E">
        <w:t xml:space="preserve">attendre 30 secondes puis verser le surnageant dans une seconde éprouvette. Agiter </w:t>
      </w:r>
      <w:r w:rsidR="00116344">
        <w:t>pendant</w:t>
      </w:r>
      <w:r w:rsidR="00321C1E">
        <w:t xml:space="preserve"> deux minutes </w:t>
      </w:r>
      <w:r w:rsidR="006C3891">
        <w:t>puis laisser reposer 30</w:t>
      </w:r>
      <w:r w:rsidR="00321C1E">
        <w:t xml:space="preserve"> minutes.</w:t>
      </w:r>
    </w:p>
    <w:p w:rsidR="00321C1E" w:rsidRDefault="00321C1E" w:rsidP="00321C1E">
      <w:pPr>
        <w:pStyle w:val="Paragraphedeliste"/>
        <w:numPr>
          <w:ilvl w:val="0"/>
          <w:numId w:val="1"/>
        </w:numPr>
        <w:spacing w:after="0" w:line="240" w:lineRule="auto"/>
      </w:pPr>
      <w:r>
        <w:t>Verser le surnageant dans une troisième éprouvette.</w:t>
      </w:r>
    </w:p>
    <w:p w:rsidR="00321C1E" w:rsidRDefault="00321C1E" w:rsidP="00321C1E">
      <w:pPr>
        <w:spacing w:after="0" w:line="240" w:lineRule="auto"/>
      </w:pPr>
      <w:r>
        <w:t>La première éprouvette contiendra les sables, la seconde les limons et la troisième les argiles.</w:t>
      </w:r>
      <w:r w:rsidR="00116344" w:rsidRPr="00116344">
        <w:t xml:space="preserve"> </w:t>
      </w:r>
      <w:r w:rsidR="00116344">
        <w:t>Après déshydratation des différentes fractions on peut éventuellement les peser pour traduire l’ensemble en pourcentage.</w:t>
      </w:r>
    </w:p>
    <w:p w:rsidR="00321C1E" w:rsidRDefault="00321C1E" w:rsidP="00321C1E">
      <w:pPr>
        <w:spacing w:after="0" w:line="240" w:lineRule="auto"/>
      </w:pPr>
    </w:p>
    <w:p w:rsidR="006C3891" w:rsidRPr="000B00E8" w:rsidRDefault="006C3891" w:rsidP="000B00E8">
      <w:pPr>
        <w:spacing w:after="0" w:line="240" w:lineRule="auto"/>
        <w:ind w:firstLine="708"/>
        <w:rPr>
          <w:b/>
        </w:rPr>
      </w:pPr>
      <w:r w:rsidRPr="000B00E8">
        <w:rPr>
          <w:b/>
          <w:u w:val="single"/>
        </w:rPr>
        <w:t>Rappel</w:t>
      </w:r>
      <w:r w:rsidRPr="000B00E8">
        <w:rPr>
          <w:b/>
        </w:rPr>
        <w:t> : 2 mm &gt;</w:t>
      </w:r>
      <w:r w:rsidR="001E5663" w:rsidRPr="000B00E8">
        <w:rPr>
          <w:b/>
        </w:rPr>
        <w:t xml:space="preserve"> sables &gt;50 µm &gt; limons &gt; 2 µm &gt;</w:t>
      </w:r>
      <w:r w:rsidRPr="000B00E8">
        <w:rPr>
          <w:b/>
        </w:rPr>
        <w:t xml:space="preserve"> argiles</w:t>
      </w:r>
    </w:p>
    <w:p w:rsidR="006C3891" w:rsidRDefault="006C3891" w:rsidP="00321C1E">
      <w:pPr>
        <w:spacing w:after="0" w:line="240" w:lineRule="auto"/>
      </w:pPr>
    </w:p>
    <w:p w:rsidR="00C9628A" w:rsidRDefault="006C3891" w:rsidP="00321C1E">
      <w:pPr>
        <w:spacing w:after="0" w:line="240" w:lineRule="auto"/>
      </w:pPr>
      <w:r w:rsidRPr="006C3891">
        <w:rPr>
          <w:rFonts w:cstheme="minorHAnsi"/>
        </w:rPr>
        <w:t>→</w:t>
      </w:r>
      <w:r w:rsidRPr="006C3891">
        <w:t xml:space="preserve">  </w:t>
      </w:r>
      <w:r w:rsidR="00C9628A" w:rsidRPr="00C9628A">
        <w:rPr>
          <w:u w:val="single"/>
        </w:rPr>
        <w:t>Par tamisage</w:t>
      </w:r>
      <w:r w:rsidR="00C9628A">
        <w:t> :</w:t>
      </w:r>
    </w:p>
    <w:p w:rsidR="00321C1E" w:rsidRDefault="00321C1E" w:rsidP="00321C1E">
      <w:pPr>
        <w:spacing w:after="0" w:line="240" w:lineRule="auto"/>
      </w:pPr>
      <w:r>
        <w:t>On peut aussi utiliser les tamis à partir de la suspension de sol dispersée en pratiquant la méthode du « chercheur d’or ».</w:t>
      </w:r>
      <w:r w:rsidR="00116344">
        <w:t xml:space="preserve"> L’intérêt est de mesurer plus facilement la taille des particules en raisonnant sur la taille des mailles.</w:t>
      </w:r>
    </w:p>
    <w:p w:rsidR="00321C1E" w:rsidRDefault="00321C1E" w:rsidP="00321C1E">
      <w:pPr>
        <w:spacing w:after="0" w:line="240" w:lineRule="auto"/>
      </w:pPr>
      <w:r>
        <w:t xml:space="preserve">Le dernier tamis gardant les particules de plus de </w:t>
      </w:r>
      <w:r w:rsidR="009C14E0">
        <w:t>0,0</w:t>
      </w:r>
      <w:r w:rsidR="00B51819">
        <w:t xml:space="preserve">63 </w:t>
      </w:r>
      <w:r>
        <w:t>mm, la suspension obtenue contient aussi bien les limons que les argiles.</w:t>
      </w:r>
    </w:p>
    <w:p w:rsidR="00321C1E" w:rsidRDefault="00321C1E" w:rsidP="00321C1E">
      <w:pPr>
        <w:spacing w:after="0" w:line="240" w:lineRule="auto"/>
      </w:pPr>
      <w:r>
        <w:t>Cependant après quelques minutes de repos, les particules argileuses les plus fines restent en suspension et on peut les récupérer.</w:t>
      </w:r>
    </w:p>
    <w:p w:rsidR="00321C1E" w:rsidRDefault="00321C1E" w:rsidP="00321C1E">
      <w:pPr>
        <w:spacing w:after="0" w:line="240" w:lineRule="auto"/>
      </w:pPr>
    </w:p>
    <w:p w:rsidR="00116344" w:rsidRPr="00C9628A" w:rsidRDefault="00116344" w:rsidP="00321C1E">
      <w:pPr>
        <w:spacing w:after="0" w:line="240" w:lineRule="auto"/>
        <w:rPr>
          <w:b/>
          <w:u w:val="single"/>
        </w:rPr>
      </w:pPr>
      <w:r w:rsidRPr="00C9628A">
        <w:rPr>
          <w:b/>
          <w:u w:val="single"/>
        </w:rPr>
        <w:lastRenderedPageBreak/>
        <w:t>Protocole d’identification</w:t>
      </w:r>
    </w:p>
    <w:p w:rsidR="000B00E8" w:rsidRDefault="000B00E8" w:rsidP="00321C1E">
      <w:pPr>
        <w:spacing w:after="0" w:line="240" w:lineRule="auto"/>
      </w:pPr>
    </w:p>
    <w:p w:rsidR="00116344" w:rsidRDefault="00116344" w:rsidP="00321C1E">
      <w:pPr>
        <w:spacing w:after="0" w:line="240" w:lineRule="auto"/>
      </w:pPr>
      <w:r>
        <w:t>L’observation à la loupe binoculaire des fractions les plus grosses permet d’identifier assez facilement la présence de minéraux (sables) et de débris organiques</w:t>
      </w:r>
      <w:r w:rsidR="00C9628A">
        <w:t>.</w:t>
      </w:r>
    </w:p>
    <w:p w:rsidR="00C9628A" w:rsidRDefault="00C9628A" w:rsidP="00321C1E">
      <w:pPr>
        <w:spacing w:after="0" w:line="240" w:lineRule="auto"/>
      </w:pPr>
    </w:p>
    <w:p w:rsidR="00116344" w:rsidRDefault="00116344" w:rsidP="00321C1E">
      <w:pPr>
        <w:spacing w:after="0" w:line="240" w:lineRule="auto"/>
      </w:pPr>
      <w:r>
        <w:t>Sur les fractions fines, la présence de matière organique peut être révélée par action d’eau oxygénée ou dégagement de CO</w:t>
      </w:r>
      <w:r w:rsidRPr="00B04C43">
        <w:rPr>
          <w:vertAlign w:val="subscript"/>
        </w:rPr>
        <w:t>2</w:t>
      </w:r>
      <w:r>
        <w:t xml:space="preserve"> à la chaleur.</w:t>
      </w:r>
    </w:p>
    <w:p w:rsidR="00DA1813" w:rsidRDefault="00DA1813" w:rsidP="00321C1E">
      <w:pPr>
        <w:spacing w:after="0" w:line="240" w:lineRule="auto"/>
      </w:pPr>
    </w:p>
    <w:p w:rsidR="00C9628A" w:rsidRDefault="00C9628A" w:rsidP="00321C1E">
      <w:pPr>
        <w:spacing w:after="0" w:line="240" w:lineRule="auto"/>
      </w:pPr>
      <w:r>
        <w:t>La présence des argiles peut être révélée par floculation en ajoutant quelques cristaux de chlorure de calcium. Mais cela anticipe sur le comportement des argiles au contact des ions, et notamment sur l’importance des ions calcium et du chaulage sur les sols.</w:t>
      </w:r>
    </w:p>
    <w:p w:rsidR="00116344" w:rsidRDefault="00116344" w:rsidP="00321C1E">
      <w:pPr>
        <w:spacing w:after="0" w:line="240" w:lineRule="auto"/>
      </w:pPr>
    </w:p>
    <w:p w:rsidR="00B51819" w:rsidRDefault="00B51819" w:rsidP="00321C1E">
      <w:pPr>
        <w:spacing w:after="0" w:line="240" w:lineRule="auto"/>
      </w:pPr>
    </w:p>
    <w:p w:rsidR="00321C1E" w:rsidRPr="00C9628A" w:rsidRDefault="00116344" w:rsidP="00321C1E">
      <w:pPr>
        <w:spacing w:after="0" w:line="240" w:lineRule="auto"/>
        <w:rPr>
          <w:b/>
          <w:u w:val="single"/>
        </w:rPr>
      </w:pPr>
      <w:r w:rsidRPr="00C9628A">
        <w:rPr>
          <w:b/>
          <w:u w:val="single"/>
        </w:rPr>
        <w:t>Résultats</w:t>
      </w:r>
    </w:p>
    <w:p w:rsidR="00116344" w:rsidRDefault="00116344" w:rsidP="00321C1E">
      <w:pPr>
        <w:spacing w:after="0" w:line="240" w:lineRule="auto"/>
      </w:pPr>
    </w:p>
    <w:tbl>
      <w:tblPr>
        <w:tblStyle w:val="Grilledutableau"/>
        <w:tblW w:w="0" w:type="auto"/>
        <w:jc w:val="center"/>
        <w:tblLook w:val="04A0"/>
      </w:tblPr>
      <w:tblGrid>
        <w:gridCol w:w="3227"/>
        <w:gridCol w:w="6551"/>
      </w:tblGrid>
      <w:tr w:rsidR="00B51819" w:rsidTr="00B51819">
        <w:trPr>
          <w:jc w:val="center"/>
        </w:trPr>
        <w:tc>
          <w:tcPr>
            <w:tcW w:w="3227" w:type="dxa"/>
            <w:vAlign w:val="center"/>
          </w:tcPr>
          <w:p w:rsidR="00B51819" w:rsidRDefault="00B51819" w:rsidP="00B51819">
            <w:pPr>
              <w:jc w:val="center"/>
            </w:pPr>
            <w:r>
              <w:rPr>
                <w:noProof/>
                <w:lang w:eastAsia="fr-FR"/>
              </w:rPr>
              <w:drawing>
                <wp:inline distT="0" distB="0" distL="0" distR="0">
                  <wp:extent cx="1816100" cy="272415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816100" cy="2724150"/>
                          </a:xfrm>
                          <a:prstGeom prst="rect">
                            <a:avLst/>
                          </a:prstGeom>
                          <a:noFill/>
                          <a:ln w="9525">
                            <a:noFill/>
                            <a:miter lim="800000"/>
                            <a:headEnd/>
                            <a:tailEnd/>
                          </a:ln>
                        </pic:spPr>
                      </pic:pic>
                    </a:graphicData>
                  </a:graphic>
                </wp:inline>
              </w:drawing>
            </w:r>
          </w:p>
        </w:tc>
        <w:tc>
          <w:tcPr>
            <w:tcW w:w="6551" w:type="dxa"/>
            <w:vAlign w:val="center"/>
          </w:tcPr>
          <w:p w:rsidR="006C3891" w:rsidRDefault="006C3891" w:rsidP="00B51819">
            <w:pPr>
              <w:jc w:val="center"/>
            </w:pPr>
            <w:r>
              <w:t>1                         2                                3                          4</w:t>
            </w:r>
          </w:p>
          <w:p w:rsidR="00B51819" w:rsidRDefault="00B51819" w:rsidP="00B51819">
            <w:pPr>
              <w:jc w:val="center"/>
            </w:pPr>
            <w:r>
              <w:rPr>
                <w:noProof/>
                <w:lang w:eastAsia="fr-FR"/>
              </w:rPr>
              <w:drawing>
                <wp:inline distT="0" distB="0" distL="0" distR="0">
                  <wp:extent cx="3771900" cy="223837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10985"/>
                          <a:stretch>
                            <a:fillRect/>
                          </a:stretch>
                        </pic:blipFill>
                        <pic:spPr bwMode="auto">
                          <a:xfrm>
                            <a:off x="0" y="0"/>
                            <a:ext cx="3771900" cy="2238375"/>
                          </a:xfrm>
                          <a:prstGeom prst="rect">
                            <a:avLst/>
                          </a:prstGeom>
                          <a:noFill/>
                          <a:ln w="9525">
                            <a:noFill/>
                            <a:miter lim="800000"/>
                            <a:headEnd/>
                            <a:tailEnd/>
                          </a:ln>
                        </pic:spPr>
                      </pic:pic>
                    </a:graphicData>
                  </a:graphic>
                </wp:inline>
              </w:drawing>
            </w:r>
          </w:p>
          <w:p w:rsidR="006C3891" w:rsidRDefault="006C3891" w:rsidP="00B51819">
            <w:pPr>
              <w:jc w:val="center"/>
            </w:pPr>
            <w:r>
              <w:t>5                             6                      7                      8</w:t>
            </w:r>
          </w:p>
        </w:tc>
      </w:tr>
      <w:tr w:rsidR="00B51819" w:rsidTr="00B51819">
        <w:trPr>
          <w:jc w:val="center"/>
        </w:trPr>
        <w:tc>
          <w:tcPr>
            <w:tcW w:w="3227" w:type="dxa"/>
            <w:vAlign w:val="center"/>
          </w:tcPr>
          <w:p w:rsidR="00B51819" w:rsidRPr="006C3891" w:rsidRDefault="00B51819" w:rsidP="00B51819">
            <w:pPr>
              <w:jc w:val="center"/>
              <w:rPr>
                <w:b/>
              </w:rPr>
            </w:pPr>
            <w:r w:rsidRPr="006C3891">
              <w:rPr>
                <w:b/>
              </w:rPr>
              <w:t>Les tamis utilisés</w:t>
            </w:r>
          </w:p>
        </w:tc>
        <w:tc>
          <w:tcPr>
            <w:tcW w:w="6551" w:type="dxa"/>
            <w:vAlign w:val="center"/>
          </w:tcPr>
          <w:p w:rsidR="00B51819" w:rsidRPr="006C3891" w:rsidRDefault="00B51819" w:rsidP="00B51819">
            <w:pPr>
              <w:jc w:val="center"/>
              <w:rPr>
                <w:b/>
              </w:rPr>
            </w:pPr>
            <w:r w:rsidRPr="006C3891">
              <w:rPr>
                <w:b/>
              </w:rPr>
              <w:t>Les différentes fractions après tamisage (sol argileux)</w:t>
            </w:r>
          </w:p>
          <w:p w:rsidR="006C3891" w:rsidRPr="00B51819" w:rsidRDefault="006C3891" w:rsidP="006C3891">
            <w:pPr>
              <w:jc w:val="center"/>
            </w:pPr>
            <w:r>
              <w:t>1. &gt; 2 mm ; 2. &gt; 1 mm ; 3. &gt; 0,5 mm ; 4. &gt; 0,250 mm ; 5. &gt; 0,125 mm ; 6. &gt; 0,063 mm : 7 et 8 &lt; 0,0063 mm (7. dépôt et 8. surnageant)</w:t>
            </w:r>
          </w:p>
        </w:tc>
      </w:tr>
    </w:tbl>
    <w:p w:rsidR="007104BF" w:rsidRDefault="007104BF" w:rsidP="00321C1E">
      <w:pPr>
        <w:spacing w:after="0" w:line="240" w:lineRule="auto"/>
      </w:pPr>
    </w:p>
    <w:p w:rsidR="00DA1813" w:rsidRDefault="00DA1813" w:rsidP="00321C1E">
      <w:pPr>
        <w:spacing w:after="0" w:line="240" w:lineRule="auto"/>
      </w:pPr>
    </w:p>
    <w:p w:rsidR="007104BF" w:rsidRDefault="007104BF" w:rsidP="00B51819">
      <w:pPr>
        <w:spacing w:after="0" w:line="240" w:lineRule="auto"/>
        <w:jc w:val="center"/>
      </w:pPr>
      <w:r>
        <w:rPr>
          <w:noProof/>
          <w:lang w:eastAsia="fr-FR"/>
        </w:rPr>
        <w:drawing>
          <wp:inline distT="0" distB="0" distL="0" distR="0">
            <wp:extent cx="3505200" cy="262988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509895" cy="2633410"/>
                    </a:xfrm>
                    <a:prstGeom prst="rect">
                      <a:avLst/>
                    </a:prstGeom>
                    <a:noFill/>
                    <a:ln w="9525">
                      <a:noFill/>
                      <a:miter lim="800000"/>
                      <a:headEnd/>
                      <a:tailEnd/>
                    </a:ln>
                  </pic:spPr>
                </pic:pic>
              </a:graphicData>
            </a:graphic>
          </wp:inline>
        </w:drawing>
      </w:r>
    </w:p>
    <w:p w:rsidR="00B51819" w:rsidRPr="00B51819" w:rsidRDefault="00B51819" w:rsidP="00B51819">
      <w:pPr>
        <w:spacing w:after="0" w:line="240" w:lineRule="auto"/>
        <w:jc w:val="center"/>
        <w:rPr>
          <w:u w:val="single"/>
        </w:rPr>
      </w:pPr>
      <w:r w:rsidRPr="00B51819">
        <w:rPr>
          <w:u w:val="single"/>
        </w:rPr>
        <w:t>Observation de la fraction à la loupe binoculaire</w:t>
      </w:r>
    </w:p>
    <w:p w:rsidR="00B51819" w:rsidRDefault="00B51819" w:rsidP="00B51819">
      <w:pPr>
        <w:spacing w:after="0" w:line="240" w:lineRule="auto"/>
        <w:jc w:val="center"/>
      </w:pPr>
      <w:r>
        <w:t>On peut reconnaitre des grains de sable, des débris organiques, des fragments végétaux</w:t>
      </w:r>
    </w:p>
    <w:p w:rsidR="00B51819" w:rsidRPr="00B51819" w:rsidRDefault="00B51819" w:rsidP="00B51819">
      <w:pPr>
        <w:spacing w:after="0" w:line="240" w:lineRule="auto"/>
        <w:rPr>
          <w:b/>
          <w:u w:val="single"/>
        </w:rPr>
      </w:pPr>
      <w:r w:rsidRPr="00B51819">
        <w:rPr>
          <w:b/>
          <w:u w:val="single"/>
        </w:rPr>
        <w:lastRenderedPageBreak/>
        <w:t>Discussion</w:t>
      </w:r>
    </w:p>
    <w:p w:rsidR="00DA1813" w:rsidRDefault="00DA1813" w:rsidP="00B51819">
      <w:pPr>
        <w:spacing w:after="0" w:line="240" w:lineRule="auto"/>
      </w:pPr>
    </w:p>
    <w:p w:rsidR="00B51819" w:rsidRDefault="00B51819" w:rsidP="00B51819">
      <w:pPr>
        <w:spacing w:after="0" w:line="240" w:lineRule="auto"/>
      </w:pPr>
      <w:r>
        <w:t>Ces manipulations peuvent être utilisées pour établir l’origine du sol :</w:t>
      </w:r>
    </w:p>
    <w:p w:rsidR="00B51819" w:rsidRDefault="00B51819" w:rsidP="00B51819">
      <w:pPr>
        <w:pStyle w:val="Paragraphedeliste"/>
        <w:numPr>
          <w:ilvl w:val="0"/>
          <w:numId w:val="1"/>
        </w:numPr>
        <w:spacing w:after="0" w:line="240" w:lineRule="auto"/>
      </w:pPr>
      <w:r>
        <w:t>Minérale : existence d’une roche mère source</w:t>
      </w:r>
    </w:p>
    <w:p w:rsidR="00B51819" w:rsidRDefault="00B51819" w:rsidP="00B51819">
      <w:pPr>
        <w:pStyle w:val="Paragraphedeliste"/>
        <w:numPr>
          <w:ilvl w:val="0"/>
          <w:numId w:val="1"/>
        </w:numPr>
        <w:spacing w:after="0" w:line="240" w:lineRule="auto"/>
      </w:pPr>
      <w:r>
        <w:t>Organique : décomposition de la biomasse (celle-ci pouvant s’observer sur le terrarium)</w:t>
      </w:r>
    </w:p>
    <w:p w:rsidR="00B51819" w:rsidRDefault="00B51819" w:rsidP="00B51819">
      <w:pPr>
        <w:spacing w:after="0" w:line="240" w:lineRule="auto"/>
      </w:pPr>
      <w:r>
        <w:t>Elles permettent également d’obtenir différentes fractions sur lesquelles on peut tester l’action des ions, notamment la fraction argileuse.</w:t>
      </w:r>
    </w:p>
    <w:p w:rsidR="008410CD" w:rsidRDefault="008410CD" w:rsidP="00321C1E">
      <w:pPr>
        <w:spacing w:after="0" w:line="240" w:lineRule="auto"/>
      </w:pPr>
    </w:p>
    <w:p w:rsidR="008410CD" w:rsidRDefault="008410CD" w:rsidP="00321C1E">
      <w:pPr>
        <w:spacing w:after="0" w:line="240" w:lineRule="auto"/>
      </w:pPr>
    </w:p>
    <w:p w:rsidR="00B51819" w:rsidRDefault="00B51819" w:rsidP="00B51819">
      <w:pPr>
        <w:spacing w:after="0" w:line="240" w:lineRule="auto"/>
        <w:jc w:val="center"/>
      </w:pPr>
      <w:r>
        <w:rPr>
          <w:noProof/>
          <w:lang w:eastAsia="fr-FR"/>
        </w:rPr>
        <w:drawing>
          <wp:inline distT="0" distB="0" distL="0" distR="0">
            <wp:extent cx="1800225" cy="3086100"/>
            <wp:effectExtent l="19050" t="0" r="952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3636" t="8333" r="14773" b="9848"/>
                    <a:stretch>
                      <a:fillRect/>
                    </a:stretch>
                  </pic:blipFill>
                  <pic:spPr bwMode="auto">
                    <a:xfrm>
                      <a:off x="0" y="0"/>
                      <a:ext cx="1800225" cy="3086100"/>
                    </a:xfrm>
                    <a:prstGeom prst="rect">
                      <a:avLst/>
                    </a:prstGeom>
                    <a:noFill/>
                    <a:ln w="9525">
                      <a:noFill/>
                      <a:miter lim="800000"/>
                      <a:headEnd/>
                      <a:tailEnd/>
                    </a:ln>
                  </pic:spPr>
                </pic:pic>
              </a:graphicData>
            </a:graphic>
          </wp:inline>
        </w:drawing>
      </w:r>
    </w:p>
    <w:p w:rsidR="00B51819" w:rsidRPr="00B51819" w:rsidRDefault="00B51819" w:rsidP="00B51819">
      <w:pPr>
        <w:spacing w:after="0" w:line="240" w:lineRule="auto"/>
        <w:jc w:val="center"/>
        <w:rPr>
          <w:u w:val="single"/>
        </w:rPr>
      </w:pPr>
      <w:r w:rsidRPr="00B51819">
        <w:rPr>
          <w:u w:val="single"/>
        </w:rPr>
        <w:t>Suspension des particules les plus fines</w:t>
      </w:r>
    </w:p>
    <w:p w:rsidR="00B51819" w:rsidRDefault="00B51819" w:rsidP="00B51819">
      <w:pPr>
        <w:spacing w:after="0" w:line="240" w:lineRule="auto"/>
        <w:jc w:val="center"/>
      </w:pPr>
      <w:r>
        <w:t>Cette suspension peut être utilisée pour étudier le comportement des complexes argileux au contact des ions (voir activité correspondante).</w:t>
      </w:r>
    </w:p>
    <w:p w:rsidR="00B04C43" w:rsidRDefault="00B04C43" w:rsidP="00321C1E">
      <w:pPr>
        <w:spacing w:after="0" w:line="240" w:lineRule="auto"/>
      </w:pPr>
    </w:p>
    <w:p w:rsidR="001D6764" w:rsidRDefault="001D6764" w:rsidP="00321C1E">
      <w:pPr>
        <w:spacing w:after="0" w:line="240" w:lineRule="auto"/>
      </w:pPr>
    </w:p>
    <w:sectPr w:rsidR="001D6764" w:rsidSect="00321C1E">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E15EA"/>
    <w:multiLevelType w:val="hybridMultilevel"/>
    <w:tmpl w:val="B3181D76"/>
    <w:lvl w:ilvl="0" w:tplc="FBD81F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E429B6"/>
    <w:multiLevelType w:val="hybridMultilevel"/>
    <w:tmpl w:val="B226EC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FD4148D"/>
    <w:multiLevelType w:val="hybridMultilevel"/>
    <w:tmpl w:val="B42C9D86"/>
    <w:lvl w:ilvl="0" w:tplc="FBD81F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B553628"/>
    <w:multiLevelType w:val="hybridMultilevel"/>
    <w:tmpl w:val="195E88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321C1E"/>
    <w:rsid w:val="000B00E8"/>
    <w:rsid w:val="00104586"/>
    <w:rsid w:val="00116344"/>
    <w:rsid w:val="001D6764"/>
    <w:rsid w:val="001E5663"/>
    <w:rsid w:val="00321C1E"/>
    <w:rsid w:val="00425B85"/>
    <w:rsid w:val="005F759C"/>
    <w:rsid w:val="006C3891"/>
    <w:rsid w:val="007104BF"/>
    <w:rsid w:val="008410CD"/>
    <w:rsid w:val="009C14E0"/>
    <w:rsid w:val="00A401F8"/>
    <w:rsid w:val="00B04C43"/>
    <w:rsid w:val="00B51819"/>
    <w:rsid w:val="00C9628A"/>
    <w:rsid w:val="00D6414E"/>
    <w:rsid w:val="00DA1813"/>
    <w:rsid w:val="00FE703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4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1C1E"/>
    <w:pPr>
      <w:ind w:left="720"/>
      <w:contextualSpacing/>
    </w:pPr>
  </w:style>
  <w:style w:type="paragraph" w:styleId="Textedebulles">
    <w:name w:val="Balloon Text"/>
    <w:basedOn w:val="Normal"/>
    <w:link w:val="TextedebullesCar"/>
    <w:uiPriority w:val="99"/>
    <w:semiHidden/>
    <w:unhideWhenUsed/>
    <w:rsid w:val="00B04C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C43"/>
    <w:rPr>
      <w:rFonts w:ascii="Tahoma" w:hAnsi="Tahoma" w:cs="Tahoma"/>
      <w:sz w:val="16"/>
      <w:szCs w:val="16"/>
    </w:rPr>
  </w:style>
  <w:style w:type="table" w:styleId="Grilledutableau">
    <w:name w:val="Table Grid"/>
    <w:basedOn w:val="TableauNormal"/>
    <w:uiPriority w:val="59"/>
    <w:rsid w:val="00B51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88B7C-5485-46F3-9A09-D633F273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602</Words>
  <Characters>3313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10</cp:revision>
  <dcterms:created xsi:type="dcterms:W3CDTF">2011-03-16T14:54:00Z</dcterms:created>
  <dcterms:modified xsi:type="dcterms:W3CDTF">2011-06-16T15:21:00Z</dcterms:modified>
</cp:coreProperties>
</file>