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5B3B" w14:textId="77777777" w:rsidR="00B917A4" w:rsidRDefault="009E443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Fiche laboratoire et évaluateur </w:t>
      </w:r>
    </w:p>
    <w:tbl>
      <w:tblPr>
        <w:tblW w:w="155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2739"/>
        <w:gridCol w:w="2162"/>
        <w:gridCol w:w="2595"/>
        <w:gridCol w:w="4901"/>
      </w:tblGrid>
      <w:tr w:rsidR="00B917A4" w14:paraId="1B3D51FC" w14:textId="77777777" w:rsidTr="00BF097F">
        <w:trPr>
          <w:trHeight w:val="1010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BE54" w14:textId="77777777" w:rsidR="00B917A4" w:rsidRDefault="009E443B" w:rsidP="005519EA">
            <w:pPr>
              <w:spacing w:before="120" w:after="12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Matériel indiqué sur la fiche candidat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5278" w14:textId="77777777" w:rsidR="00B917A4" w:rsidRDefault="009E443B" w:rsidP="005519EA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Précisions pour le laboratoire</w:t>
            </w:r>
          </w:p>
        </w:tc>
        <w:tc>
          <w:tcPr>
            <w:tcW w:w="46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70AD" w14:textId="77777777" w:rsidR="00B917A4" w:rsidRDefault="009E443B" w:rsidP="005519EA">
            <w:pPr>
              <w:spacing w:before="120" w:after="120"/>
              <w:ind w:left="31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Remarques à l’évaluateur</w:t>
            </w:r>
          </w:p>
        </w:tc>
        <w:tc>
          <w:tcPr>
            <w:tcW w:w="4819" w:type="dxa"/>
            <w:vAlign w:val="center"/>
          </w:tcPr>
          <w:p w14:paraId="6F409266" w14:textId="3DFBB400" w:rsidR="00B917A4" w:rsidRPr="005519EA" w:rsidRDefault="009E443B" w:rsidP="005B05DC">
            <w:pPr>
              <w:pStyle w:val="NormalWeb"/>
              <w:spacing w:before="120" w:after="120"/>
              <w:ind w:left="136" w:right="137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Ressources et/ou informations à donner au candidat au cours de l’épreuve</w:t>
            </w:r>
          </w:p>
        </w:tc>
      </w:tr>
      <w:tr w:rsidR="005519EA" w14:paraId="5431FD60" w14:textId="77777777" w:rsidTr="00BF097F">
        <w:tc>
          <w:tcPr>
            <w:tcW w:w="31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E541" w14:textId="77777777" w:rsidR="005B05DC" w:rsidRPr="005B05DC" w:rsidRDefault="005B05DC" w:rsidP="005B05DC">
            <w:pPr>
              <w:pStyle w:val="NormalWeb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5B05DC">
              <w:rPr>
                <w:rFonts w:ascii="Arial" w:hAnsi="Arial" w:cs="Arial"/>
                <w:iCs/>
              </w:rPr>
              <w:t>microscope optique ;</w:t>
            </w:r>
          </w:p>
          <w:p w14:paraId="30CFB02D" w14:textId="77777777" w:rsidR="005B05DC" w:rsidRPr="005B05DC" w:rsidRDefault="005B05DC" w:rsidP="005B05DC">
            <w:pPr>
              <w:pStyle w:val="NormalWeb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5B05DC">
              <w:rPr>
                <w:rFonts w:ascii="Arial" w:hAnsi="Arial" w:cs="Arial"/>
                <w:iCs/>
              </w:rPr>
              <w:t>trois verres de montre ;</w:t>
            </w:r>
          </w:p>
          <w:p w14:paraId="2AA685B7" w14:textId="77777777" w:rsidR="005B05DC" w:rsidRPr="005B05DC" w:rsidRDefault="005B05DC" w:rsidP="005B05DC">
            <w:pPr>
              <w:pStyle w:val="NormalWeb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5B05DC">
              <w:rPr>
                <w:rFonts w:ascii="Arial" w:hAnsi="Arial" w:cs="Arial"/>
                <w:iCs/>
              </w:rPr>
              <w:t>paire de pinces ;</w:t>
            </w:r>
          </w:p>
          <w:p w14:paraId="51648F60" w14:textId="77777777" w:rsidR="005B05DC" w:rsidRPr="005B05DC" w:rsidRDefault="005B05DC" w:rsidP="005B05DC">
            <w:pPr>
              <w:pStyle w:val="NormalWeb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5B05DC">
              <w:rPr>
                <w:rFonts w:ascii="Arial" w:hAnsi="Arial" w:cs="Arial"/>
                <w:iCs/>
              </w:rPr>
              <w:t>paire de ciseaux fins ;</w:t>
            </w:r>
          </w:p>
          <w:p w14:paraId="19DD442C" w14:textId="77777777" w:rsidR="005B05DC" w:rsidRPr="005B05DC" w:rsidRDefault="005B05DC" w:rsidP="005B05DC">
            <w:pPr>
              <w:pStyle w:val="NormalWeb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5B05DC">
              <w:rPr>
                <w:rFonts w:ascii="Arial" w:hAnsi="Arial" w:cs="Arial"/>
                <w:iCs/>
              </w:rPr>
              <w:t xml:space="preserve">lames ; </w:t>
            </w:r>
          </w:p>
          <w:p w14:paraId="588D0DD8" w14:textId="77777777" w:rsidR="005B05DC" w:rsidRPr="005B05DC" w:rsidRDefault="005B05DC" w:rsidP="005B05DC">
            <w:pPr>
              <w:pStyle w:val="NormalWeb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5B05DC">
              <w:rPr>
                <w:rFonts w:ascii="Arial" w:hAnsi="Arial" w:cs="Arial"/>
                <w:iCs/>
              </w:rPr>
              <w:t>lamelles ;</w:t>
            </w:r>
          </w:p>
          <w:p w14:paraId="10FCA988" w14:textId="77777777" w:rsidR="005B05DC" w:rsidRPr="005B05DC" w:rsidRDefault="005B05DC" w:rsidP="005B05DC">
            <w:pPr>
              <w:pStyle w:val="NormalWeb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5B05DC">
              <w:rPr>
                <w:rFonts w:ascii="Arial" w:hAnsi="Arial" w:cs="Arial"/>
                <w:iCs/>
              </w:rPr>
              <w:t>flacon de vert de méthyle pyronine ;</w:t>
            </w:r>
          </w:p>
          <w:p w14:paraId="48008FD6" w14:textId="77777777" w:rsidR="005B05DC" w:rsidRPr="005B05DC" w:rsidRDefault="005B05DC" w:rsidP="005B05DC">
            <w:pPr>
              <w:pStyle w:val="NormalWeb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5B05DC">
              <w:rPr>
                <w:rFonts w:ascii="Arial" w:hAnsi="Arial" w:cs="Arial"/>
                <w:iCs/>
              </w:rPr>
              <w:t>flacon d’eau distillée ;</w:t>
            </w:r>
          </w:p>
          <w:p w14:paraId="589ADEE1" w14:textId="77777777" w:rsidR="005B05DC" w:rsidRPr="005B05DC" w:rsidRDefault="005B05DC" w:rsidP="005B05DC">
            <w:pPr>
              <w:pStyle w:val="NormalWeb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5B05DC">
              <w:rPr>
                <w:rFonts w:ascii="Arial" w:hAnsi="Arial" w:cs="Arial"/>
                <w:iCs/>
              </w:rPr>
              <w:t>chronomètre</w:t>
            </w:r>
            <w:r w:rsidRPr="005B05DC">
              <w:rPr>
                <w:rFonts w:ascii="Arial" w:hAnsi="Arial" w:cs="Arial"/>
                <w:i/>
              </w:rPr>
              <w:t> </w:t>
            </w:r>
          </w:p>
          <w:p w14:paraId="1A7EFF00" w14:textId="7288B2A4" w:rsidR="005519EA" w:rsidRPr="00EE2698" w:rsidRDefault="005519EA" w:rsidP="005519EA">
            <w:pPr>
              <w:pStyle w:val="NormalWeb"/>
              <w:spacing w:before="120" w:after="120"/>
              <w:ind w:left="171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  <w:vMerge w:val="restart"/>
          </w:tcPr>
          <w:p w14:paraId="7AE5ADA8" w14:textId="6EFCB207" w:rsidR="002123B2" w:rsidRPr="0017738B" w:rsidRDefault="0017738B" w:rsidP="0017738B">
            <w:pPr>
              <w:pStyle w:val="NormalWeb"/>
              <w:spacing w:before="120" w:after="120"/>
              <w:ind w:left="47" w:right="130"/>
              <w:rPr>
                <w:rFonts w:ascii="Arial" w:hAnsi="Arial" w:cs="Arial"/>
                <w:bCs/>
              </w:rPr>
            </w:pPr>
            <w:r w:rsidRPr="0017738B">
              <w:rPr>
                <w:rFonts w:ascii="Arial" w:hAnsi="Arial" w:cs="Arial"/>
                <w:bCs/>
              </w:rPr>
              <w:t>RAS</w:t>
            </w:r>
          </w:p>
          <w:p w14:paraId="5843F42D" w14:textId="77777777" w:rsidR="002123B2" w:rsidRDefault="002123B2" w:rsidP="002123B2">
            <w:pPr>
              <w:pStyle w:val="NormalWeb"/>
              <w:spacing w:before="120" w:after="120"/>
              <w:ind w:left="47" w:right="130"/>
              <w:jc w:val="left"/>
              <w:rPr>
                <w:rFonts w:ascii="Arial" w:hAnsi="Arial" w:cs="Arial"/>
                <w:b/>
              </w:rPr>
            </w:pPr>
          </w:p>
          <w:p w14:paraId="41FB3CC9" w14:textId="77777777" w:rsidR="002123B2" w:rsidRDefault="002123B2" w:rsidP="002123B2">
            <w:pPr>
              <w:pStyle w:val="NormalWeb"/>
              <w:spacing w:before="120" w:after="120"/>
              <w:ind w:left="47" w:right="130"/>
              <w:jc w:val="left"/>
              <w:rPr>
                <w:rFonts w:ascii="Arial" w:hAnsi="Arial" w:cs="Arial"/>
                <w:b/>
              </w:rPr>
            </w:pPr>
          </w:p>
          <w:p w14:paraId="5E57CE13" w14:textId="77777777" w:rsidR="002123B2" w:rsidRDefault="002123B2" w:rsidP="002123B2">
            <w:pPr>
              <w:pStyle w:val="NormalWeb"/>
              <w:spacing w:before="120" w:after="120"/>
              <w:ind w:left="47" w:right="130"/>
              <w:jc w:val="left"/>
              <w:rPr>
                <w:rFonts w:ascii="Arial" w:hAnsi="Arial" w:cs="Arial"/>
                <w:b/>
              </w:rPr>
            </w:pPr>
          </w:p>
          <w:p w14:paraId="69898DAF" w14:textId="77777777" w:rsidR="002123B2" w:rsidRDefault="002123B2" w:rsidP="002123B2">
            <w:pPr>
              <w:pStyle w:val="NormalWeb"/>
              <w:spacing w:before="120" w:after="120"/>
              <w:ind w:left="47" w:right="130"/>
              <w:jc w:val="left"/>
              <w:rPr>
                <w:rFonts w:ascii="Arial" w:hAnsi="Arial" w:cs="Arial"/>
                <w:b/>
              </w:rPr>
            </w:pPr>
          </w:p>
          <w:p w14:paraId="5D0D6A29" w14:textId="6F469866" w:rsidR="005519EA" w:rsidRPr="00704991" w:rsidRDefault="005519EA" w:rsidP="00704991">
            <w:pPr>
              <w:pStyle w:val="NormalWeb"/>
              <w:spacing w:before="120" w:after="120"/>
              <w:ind w:left="47" w:right="13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7CD6" w14:textId="3FD8CADA" w:rsidR="005519EA" w:rsidRDefault="005519EA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Aides majeures</w:t>
            </w:r>
            <w:r w:rsidR="005B05DC">
              <w:rPr>
                <w:rFonts w:ascii="Arial" w:hAnsi="Arial" w:cs="Arial"/>
                <w:b/>
              </w:rPr>
              <w:t xml:space="preserve"> : </w:t>
            </w:r>
          </w:p>
          <w:p w14:paraId="70384F70" w14:textId="3B4C5C0C" w:rsidR="00BF097F" w:rsidRDefault="005B05DC" w:rsidP="005B05DC">
            <w:pPr>
              <w:pStyle w:val="NormalWeb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5B05DC">
              <w:rPr>
                <w:rFonts w:ascii="Arial" w:hAnsi="Arial" w:cs="Arial"/>
                <w:bCs/>
              </w:rPr>
              <w:t xml:space="preserve">l’examinateur </w:t>
            </w:r>
            <w:r w:rsidR="00BF097F">
              <w:rPr>
                <w:rFonts w:ascii="Arial" w:hAnsi="Arial" w:cs="Arial"/>
                <w:bCs/>
              </w:rPr>
              <w:t>réalise le montage lame/échantillon/lamelle à la place du candidat</w:t>
            </w:r>
          </w:p>
          <w:p w14:paraId="2495FA93" w14:textId="00FBF71D" w:rsidR="005B05DC" w:rsidRPr="005B05DC" w:rsidRDefault="00BF097F" w:rsidP="005B05DC">
            <w:pPr>
              <w:pStyle w:val="NormalWeb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l’examinateur r</w:t>
            </w:r>
            <w:r w:rsidR="005B05DC">
              <w:rPr>
                <w:rFonts w:ascii="Arial" w:hAnsi="Arial" w:cs="Arial"/>
                <w:bCs/>
              </w:rPr>
              <w:t xml:space="preserve">echerche à la place du candidat </w:t>
            </w:r>
            <w:r>
              <w:rPr>
                <w:rFonts w:ascii="Arial" w:hAnsi="Arial" w:cs="Arial"/>
                <w:bCs/>
              </w:rPr>
              <w:t>une</w:t>
            </w:r>
            <w:r w:rsidR="005B05DC">
              <w:rPr>
                <w:rFonts w:ascii="Arial" w:hAnsi="Arial" w:cs="Arial"/>
                <w:bCs/>
              </w:rPr>
              <w:t xml:space="preserve"> zone d’intérêt au microscope.</w:t>
            </w:r>
          </w:p>
          <w:p w14:paraId="0EEC821A" w14:textId="77777777" w:rsidR="00770E73" w:rsidRDefault="00770E73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b/>
              </w:rPr>
            </w:pPr>
          </w:p>
          <w:p w14:paraId="7C49AF88" w14:textId="08CF2C8B" w:rsidR="005B05DC" w:rsidRDefault="005519EA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Document de secours (à construire avec le matériel de l’établissement) : </w:t>
            </w:r>
          </w:p>
          <w:p w14:paraId="2CEE3272" w14:textId="3336403F" w:rsidR="005519EA" w:rsidRDefault="00BF097F" w:rsidP="00770E73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</w:t>
            </w:r>
            <w:r w:rsidR="005B05DC" w:rsidRPr="005B05DC">
              <w:rPr>
                <w:rFonts w:ascii="Arial" w:hAnsi="Arial" w:cs="Arial"/>
                <w:bCs/>
              </w:rPr>
              <w:t>ne microphotographie (sans titre ni légende</w:t>
            </w:r>
            <w:r w:rsidR="002D0763">
              <w:rPr>
                <w:rFonts w:ascii="Arial" w:hAnsi="Arial" w:cs="Arial"/>
                <w:bCs/>
              </w:rPr>
              <w:t>s</w:t>
            </w:r>
            <w:r w:rsidR="005B05DC" w:rsidRPr="005B05DC">
              <w:rPr>
                <w:rFonts w:ascii="Arial" w:hAnsi="Arial" w:cs="Arial"/>
                <w:bCs/>
              </w:rPr>
              <w:t>)</w:t>
            </w:r>
            <w:r w:rsidR="005B05DC">
              <w:rPr>
                <w:rFonts w:ascii="Arial" w:hAnsi="Arial" w:cs="Arial"/>
                <w:bCs/>
              </w:rPr>
              <w:t xml:space="preserve"> de cellules d’épiderme interne d’oignon blanc colorées au vert de méthyle pyronine, montrant sans ambiguïté la couleur verte uniquement dans le noyau et la couleur rose à la fois dans le noyau et dans le cytoplasme. </w:t>
            </w:r>
          </w:p>
        </w:tc>
        <w:tc>
          <w:tcPr>
            <w:tcW w:w="4819" w:type="dxa"/>
          </w:tcPr>
          <w:p w14:paraId="49120AB7" w14:textId="60A4C48E" w:rsidR="006241F7" w:rsidRPr="00704991" w:rsidRDefault="00B87E20" w:rsidP="005B05DC">
            <w:pPr>
              <w:pStyle w:val="NormalWeb"/>
              <w:spacing w:before="120" w:after="120"/>
              <w:ind w:left="143" w:right="141"/>
              <w:jc w:val="both"/>
              <w:rPr>
                <w:rFonts w:ascii="Arial" w:hAnsi="Arial" w:cs="Arial"/>
                <w:b/>
                <w:color w:val="4472C4" w:themeColor="accent1"/>
              </w:rPr>
            </w:pPr>
            <w:r w:rsidRPr="00704991">
              <w:rPr>
                <w:rFonts w:ascii="Arial" w:hAnsi="Arial" w:cs="Arial"/>
                <w:b/>
              </w:rPr>
              <w:t>Indiquer</w:t>
            </w:r>
            <w:r w:rsidR="005519EA" w:rsidRPr="00704991">
              <w:rPr>
                <w:rFonts w:ascii="Arial" w:hAnsi="Arial" w:cs="Arial"/>
                <w:b/>
              </w:rPr>
              <w:t xml:space="preserve"> oralement au candidat </w:t>
            </w:r>
            <w:r w:rsidR="005519EA" w:rsidRPr="00704991">
              <w:rPr>
                <w:rFonts w:ascii="Arial" w:hAnsi="Arial" w:cs="Arial"/>
              </w:rPr>
              <w:t>dès le début de l’épreuve</w:t>
            </w:r>
            <w:r w:rsidRPr="00704991">
              <w:rPr>
                <w:rFonts w:ascii="Arial" w:hAnsi="Arial" w:cs="Arial"/>
              </w:rPr>
              <w:t xml:space="preserve"> que la situation comporte</w:t>
            </w:r>
            <w:r w:rsidRPr="00704991">
              <w:rPr>
                <w:rFonts w:ascii="Arial" w:hAnsi="Arial" w:cs="Arial"/>
                <w:b/>
              </w:rPr>
              <w:t xml:space="preserve"> </w:t>
            </w:r>
            <w:r w:rsidR="00704991" w:rsidRPr="005B05DC">
              <w:rPr>
                <w:rFonts w:ascii="Arial" w:hAnsi="Arial" w:cs="Arial"/>
              </w:rPr>
              <w:t>1</w:t>
            </w:r>
            <w:r w:rsidR="00704991">
              <w:rPr>
                <w:rFonts w:ascii="Arial" w:hAnsi="Arial" w:cs="Arial"/>
                <w:color w:val="FF0000"/>
              </w:rPr>
              <w:t xml:space="preserve"> </w:t>
            </w:r>
            <w:r w:rsidRPr="00704991">
              <w:rPr>
                <w:rFonts w:ascii="Arial" w:hAnsi="Arial" w:cs="Arial"/>
              </w:rPr>
              <w:t>geste technique</w:t>
            </w:r>
            <w:r w:rsidR="005B05DC">
              <w:rPr>
                <w:rFonts w:ascii="Arial" w:hAnsi="Arial" w:cs="Arial"/>
              </w:rPr>
              <w:t>.</w:t>
            </w:r>
          </w:p>
        </w:tc>
      </w:tr>
      <w:tr w:rsidR="005519EA" w14:paraId="5AAE1D45" w14:textId="77777777" w:rsidTr="00BF097F">
        <w:tc>
          <w:tcPr>
            <w:tcW w:w="31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1F1F" w14:textId="77777777" w:rsidR="005519EA" w:rsidRDefault="005519EA" w:rsidP="00E17C76">
            <w:pPr>
              <w:pStyle w:val="NormalWeb"/>
              <w:numPr>
                <w:ilvl w:val="0"/>
                <w:numId w:val="2"/>
              </w:numPr>
              <w:spacing w:before="0" w:after="0"/>
              <w:ind w:left="171" w:hanging="124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  <w:vMerge/>
          </w:tcPr>
          <w:p w14:paraId="4400BA88" w14:textId="77777777" w:rsidR="005519EA" w:rsidRDefault="005519EA" w:rsidP="005519EA">
            <w:pPr>
              <w:pStyle w:val="NormalWeb"/>
              <w:spacing w:before="0" w:after="0"/>
              <w:ind w:left="171" w:right="13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DE2D" w14:textId="77777777" w:rsidR="005519EA" w:rsidRDefault="005519EA" w:rsidP="005519EA">
            <w:pPr>
              <w:pStyle w:val="Normal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43B6E64E" w14:textId="28672012" w:rsidR="005519EA" w:rsidRDefault="005519EA" w:rsidP="00BF097F">
            <w:pPr>
              <w:pStyle w:val="NormalWeb"/>
              <w:spacing w:before="120" w:after="120"/>
              <w:ind w:left="137" w:right="137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À l’issue de la présentation orale de la poursuite de stratégie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,</w:t>
            </w:r>
            <w:r w:rsidR="00704991">
              <w:rPr>
                <w:rFonts w:ascii="Arial" w:hAnsi="Arial" w:cs="Arial"/>
                <w:color w:val="000000" w:themeColor="text1"/>
                <w:lang w:eastAsia="en-US"/>
              </w:rPr>
              <w:t xml:space="preserve"> d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onner la ressource complémentaire</w:t>
            </w:r>
            <w:r w:rsidR="00704991"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</w:p>
        </w:tc>
      </w:tr>
      <w:tr w:rsidR="00B917A4" w14:paraId="3E5990B6" w14:textId="77777777" w:rsidTr="00BF097F">
        <w:trPr>
          <w:trHeight w:val="513"/>
        </w:trPr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2AFB" w14:textId="345F2EED" w:rsidR="00B917A4" w:rsidRDefault="00996F56" w:rsidP="005B05DC">
            <w:pPr>
              <w:pStyle w:val="Grillemoyenne1-Accent2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-1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5DC">
              <w:rPr>
                <w:rFonts w:ascii="Arial" w:hAnsi="Arial" w:cs="Arial"/>
                <w:bCs/>
                <w:sz w:val="24"/>
                <w:szCs w:val="24"/>
              </w:rPr>
              <w:t>Un dispositif d’acquisition numérique sera mis à disposition du candidat s’il l’a utilisé dans l’année</w:t>
            </w:r>
            <w:r w:rsidR="004D0D7D" w:rsidRPr="005B05D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5B05D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BF097F" w14:paraId="1B7DCBA4" w14:textId="77777777" w:rsidTr="00BF097F">
        <w:trPr>
          <w:trHeight w:val="445"/>
        </w:trPr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46EA9BF" w14:textId="77777777" w:rsidR="00BF097F" w:rsidRPr="00BF097F" w:rsidRDefault="00BF097F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  <w:p w14:paraId="66C12A39" w14:textId="77777777" w:rsidR="00BF097F" w:rsidRDefault="00BF097F" w:rsidP="00984053">
            <w:pPr>
              <w:spacing w:before="120" w:after="120"/>
              <w:ind w:left="4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Équipements de protection individuelle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(pour le candidat)</w:t>
            </w:r>
          </w:p>
        </w:tc>
      </w:tr>
      <w:tr w:rsidR="00BF097F" w14:paraId="0A3A7077" w14:textId="77777777" w:rsidTr="00BF097F">
        <w:trPr>
          <w:trHeight w:val="445"/>
        </w:trPr>
        <w:tc>
          <w:tcPr>
            <w:tcW w:w="79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79522" w14:textId="0E90E153" w:rsidR="00BF097F" w:rsidRDefault="00BF097F" w:rsidP="00BF097F">
            <w:pPr>
              <w:spacing w:before="120"/>
              <w:ind w:left="144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Obligatoire dans une salle de travaux pratiques</w:t>
            </w:r>
          </w:p>
          <w:p w14:paraId="3F5DC32A" w14:textId="77777777" w:rsidR="00E15E22" w:rsidRDefault="00E15E22" w:rsidP="00BF097F">
            <w:pPr>
              <w:spacing w:before="120"/>
              <w:ind w:left="144"/>
              <w:outlineLvl w:val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5C138CE" w14:textId="77777777" w:rsidR="00BF097F" w:rsidRDefault="00BF097F">
            <w:pPr>
              <w:outlineLvl w:val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4F9146D" wp14:editId="72916D24">
                  <wp:extent cx="719455" cy="719455"/>
                  <wp:effectExtent l="0" t="0" r="4445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B698" w14:textId="77777777" w:rsidR="00BF097F" w:rsidRDefault="00BF097F">
            <w:pPr>
              <w:ind w:left="4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EA521ED" w14:textId="77777777" w:rsidR="00E15E22" w:rsidRDefault="00E15E22">
            <w:pPr>
              <w:ind w:left="4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00AD0F8E" w14:textId="287813FE" w:rsidR="00BF097F" w:rsidRDefault="00BF097F">
            <w:pPr>
              <w:ind w:left="4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inline distT="0" distB="0" distL="0" distR="0" wp14:anchorId="1ABF2180" wp14:editId="3174E499">
                  <wp:extent cx="720000" cy="720000"/>
                  <wp:effectExtent l="0" t="0" r="4445" b="4445"/>
                  <wp:docPr id="12" name="Image 3" descr="C:\Users\avialar\Documents\dossiers_travail\SVT\sécurité\pictogrammes\Pictogrammes2023_VGuili\gan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vialar\Documents\dossiers_travail\SVT\sécurité\pictogrammes\Pictogrammes2023_VGuili\gants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1F3ADCE" wp14:editId="1C5F75A7">
                  <wp:extent cx="719455" cy="719455"/>
                  <wp:effectExtent l="0" t="0" r="4445" b="4445"/>
                  <wp:docPr id="25" name="Image 19" descr="C:\Users\avialar\Documents\dossiers_travail\SVT\sécurité\pictogrammes\Pictogrammes2023_VGuili\lunett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19" descr="C:\Users\avialar\Documents\dossiers_travail\SVT\sécurité\pictogrammes\Pictogrammes2023_VGuili\lunettes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9616E4" w14:textId="77777777" w:rsidR="00B917A4" w:rsidRDefault="00B917A4">
      <w:pPr>
        <w:shd w:val="clear" w:color="auto" w:fill="FFFFFF"/>
        <w:jc w:val="left"/>
        <w:rPr>
          <w:rFonts w:ascii="Arial" w:eastAsia="Times New Roman" w:hAnsi="Arial" w:cs="Arial"/>
          <w:b/>
          <w:color w:val="FF0000"/>
          <w:szCs w:val="24"/>
          <w:u w:val="single"/>
        </w:rPr>
      </w:pPr>
    </w:p>
    <w:p w14:paraId="3AFC0B1E" w14:textId="6FBB193B" w:rsidR="00806E9A" w:rsidRDefault="00806E9A">
      <w:pPr>
        <w:jc w:val="left"/>
        <w:rPr>
          <w:rFonts w:ascii="Arial" w:eastAsia="Times New Roman" w:hAnsi="Arial" w:cs="Arial"/>
          <w:b/>
          <w:color w:val="FF0000"/>
          <w:szCs w:val="24"/>
          <w:u w:val="single"/>
        </w:rPr>
      </w:pPr>
      <w:r>
        <w:rPr>
          <w:rFonts w:ascii="Arial" w:eastAsia="Times New Roman" w:hAnsi="Arial" w:cs="Arial"/>
          <w:b/>
          <w:color w:val="FF0000"/>
          <w:szCs w:val="24"/>
          <w:u w:val="single"/>
        </w:rPr>
        <w:br w:type="page"/>
      </w:r>
    </w:p>
    <w:tbl>
      <w:tblPr>
        <w:tblW w:w="155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569"/>
      </w:tblGrid>
      <w:tr w:rsidR="00806E9A" w14:paraId="239F46F7" w14:textId="77777777" w:rsidTr="00676401">
        <w:trPr>
          <w:trHeight w:val="174"/>
        </w:trPr>
        <w:tc>
          <w:tcPr>
            <w:tcW w:w="15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165A608" w14:textId="77777777" w:rsidR="00806E9A" w:rsidRDefault="00806E9A" w:rsidP="00676401">
            <w:pPr>
              <w:spacing w:before="120" w:after="120"/>
              <w:rPr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FF0000"/>
                <w:szCs w:val="24"/>
                <w:u w:val="single"/>
              </w:rPr>
              <w:lastRenderedPageBreak/>
              <w:br w:type="page" w:clear="all"/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Ressource complémentaire </w:t>
            </w:r>
          </w:p>
        </w:tc>
      </w:tr>
      <w:tr w:rsidR="00806E9A" w14:paraId="576E03EB" w14:textId="77777777" w:rsidTr="00676401">
        <w:trPr>
          <w:trHeight w:val="50"/>
        </w:trPr>
        <w:tc>
          <w:tcPr>
            <w:tcW w:w="1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4534" w14:textId="77777777" w:rsidR="00806E9A" w:rsidRDefault="00806E9A" w:rsidP="0067640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10A9">
              <w:rPr>
                <w:rFonts w:ascii="Arial" w:hAnsi="Arial" w:cs="Arial"/>
                <w:b/>
                <w:bCs/>
                <w:sz w:val="24"/>
                <w:szCs w:val="24"/>
              </w:rPr>
              <w:t>Modèle d’un complexe moléculaire prélevé dans le noyau d’une cellule en cours de synthèse protéique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  <w:p w14:paraId="2AD59CB5" w14:textId="77777777" w:rsidR="00806E9A" w:rsidRPr="003B10A9" w:rsidRDefault="00806E9A" w:rsidP="00676401">
            <w:pPr>
              <w:jc w:val="both"/>
              <w:rPr>
                <w:b/>
                <w:bCs/>
                <w:color w:val="000000"/>
                <w:sz w:val="10"/>
                <w:szCs w:val="10"/>
                <w:lang w:eastAsia="zh-CN"/>
              </w:rPr>
            </w:pPr>
          </w:p>
          <w:p w14:paraId="5FE983CC" w14:textId="77777777" w:rsidR="00806E9A" w:rsidRDefault="00806E9A" w:rsidP="00676401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3B10A9">
              <w:rPr>
                <w:noProof/>
                <w:color w:val="000000"/>
                <w:sz w:val="24"/>
                <w:szCs w:val="24"/>
                <w:lang w:eastAsia="zh-CN"/>
              </w:rPr>
              <w:drawing>
                <wp:inline distT="0" distB="0" distL="0" distR="0" wp14:anchorId="39971205" wp14:editId="2F1889BA">
                  <wp:extent cx="3940629" cy="4900271"/>
                  <wp:effectExtent l="0" t="0" r="3175" b="0"/>
                  <wp:docPr id="100044808" name="Image 1" descr="Une image contenant dessin, croquis, Dessin d’enfant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4808" name="Image 1" descr="Une image contenant dessin, croquis, Dessin d’enfant, clipart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019" cy="494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722438" w14:textId="77777777" w:rsidR="00806E9A" w:rsidRPr="00BF097F" w:rsidRDefault="00806E9A" w:rsidP="0067640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BF097F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>Source : Logiciel Libmol</w:t>
            </w:r>
          </w:p>
          <w:p w14:paraId="61E43C87" w14:textId="77777777" w:rsidR="00806E9A" w:rsidRDefault="00806E9A" w:rsidP="00676401">
            <w:pPr>
              <w:jc w:val="left"/>
              <w:rPr>
                <w:color w:val="000000"/>
                <w:sz w:val="24"/>
                <w:szCs w:val="24"/>
                <w:lang w:eastAsia="zh-CN"/>
              </w:rPr>
            </w:pPr>
            <w:r w:rsidRPr="003B10A9">
              <w:rPr>
                <w:noProof/>
                <w:color w:val="000000"/>
                <w:sz w:val="24"/>
                <w:szCs w:val="24"/>
                <w:lang w:eastAsia="zh-CN"/>
              </w:rPr>
              <w:drawing>
                <wp:inline distT="0" distB="0" distL="0" distR="0" wp14:anchorId="20EA7EC2" wp14:editId="5F0D9F6F">
                  <wp:extent cx="1981477" cy="428685"/>
                  <wp:effectExtent l="0" t="0" r="0" b="9525"/>
                  <wp:docPr id="20532618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26185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477" cy="42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F2EC20" w14:textId="77777777" w:rsidR="00806E9A" w:rsidRPr="003B10A9" w:rsidRDefault="00806E9A" w:rsidP="0067640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B10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T et N = les deux chaînes de la molécule d’ADN</w:t>
            </w:r>
          </w:p>
          <w:p w14:paraId="01593C61" w14:textId="77777777" w:rsidR="00806E9A" w:rsidRDefault="00806E9A" w:rsidP="00676401">
            <w:pPr>
              <w:jc w:val="left"/>
              <w:rPr>
                <w:strike/>
                <w:sz w:val="24"/>
                <w:szCs w:val="24"/>
                <w:lang w:eastAsia="zh-CN"/>
              </w:rPr>
            </w:pPr>
            <w:r w:rsidRPr="003B10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R = cha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î</w:t>
            </w:r>
            <w:r w:rsidRPr="003B10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ne d’ARN messager </w:t>
            </w:r>
          </w:p>
        </w:tc>
      </w:tr>
    </w:tbl>
    <w:p w14:paraId="77C3E644" w14:textId="77777777" w:rsidR="00806E9A" w:rsidRDefault="00806E9A" w:rsidP="00770E73">
      <w:pPr>
        <w:shd w:val="clear" w:color="auto" w:fill="FFFFFF"/>
        <w:jc w:val="left"/>
        <w:rPr>
          <w:rFonts w:ascii="Arial" w:eastAsia="Times New Roman" w:hAnsi="Arial" w:cs="Arial"/>
          <w:b/>
          <w:color w:val="FF0000"/>
          <w:szCs w:val="24"/>
          <w:u w:val="single"/>
        </w:rPr>
      </w:pPr>
    </w:p>
    <w:sectPr w:rsidR="00806E9A" w:rsidSect="00026B6F">
      <w:headerReference w:type="default" r:id="rId13"/>
      <w:pgSz w:w="16838" w:h="11906" w:orient="landscape"/>
      <w:pgMar w:top="720" w:right="720" w:bottom="426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FB56" w14:textId="77777777" w:rsidR="00B76617" w:rsidRDefault="00B76617">
      <w:r>
        <w:separator/>
      </w:r>
    </w:p>
  </w:endnote>
  <w:endnote w:type="continuationSeparator" w:id="0">
    <w:p w14:paraId="677F30A8" w14:textId="77777777" w:rsidR="00B76617" w:rsidRDefault="00B7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588A" w14:textId="77777777" w:rsidR="00B76617" w:rsidRDefault="00B76617">
      <w:r>
        <w:separator/>
      </w:r>
    </w:p>
  </w:footnote>
  <w:footnote w:type="continuationSeparator" w:id="0">
    <w:p w14:paraId="28513485" w14:textId="77777777" w:rsidR="00B76617" w:rsidRDefault="00B7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5EA3" w14:textId="7AD0E725" w:rsidR="00B917A4" w:rsidRPr="005B05DC" w:rsidRDefault="005B05DC" w:rsidP="005B05DC">
    <w:pPr>
      <w:tabs>
        <w:tab w:val="left" w:pos="426"/>
      </w:tabs>
    </w:pPr>
    <w:r>
      <w:rPr>
        <w:rFonts w:ascii="Arial" w:hAnsi="Arial" w:cs="Arial"/>
        <w:b/>
        <w:color w:val="000000"/>
        <w:sz w:val="24"/>
        <w:szCs w:val="24"/>
      </w:rPr>
      <w:t>L</w:t>
    </w:r>
    <w:r w:rsidRPr="0027684E">
      <w:rPr>
        <w:rFonts w:ascii="Arial" w:hAnsi="Arial" w:cs="Arial"/>
        <w:b/>
        <w:color w:val="000000"/>
        <w:sz w:val="24"/>
        <w:szCs w:val="24"/>
      </w:rPr>
      <w:t xml:space="preserve">’ARN messager, </w:t>
    </w:r>
    <w:r>
      <w:rPr>
        <w:rFonts w:ascii="Arial" w:hAnsi="Arial" w:cs="Arial"/>
        <w:b/>
        <w:color w:val="000000"/>
        <w:sz w:val="24"/>
        <w:szCs w:val="24"/>
      </w:rPr>
      <w:t xml:space="preserve">un </w:t>
    </w:r>
    <w:r w:rsidRPr="0027684E">
      <w:rPr>
        <w:rFonts w:ascii="Arial" w:hAnsi="Arial" w:cs="Arial"/>
        <w:b/>
        <w:color w:val="000000"/>
        <w:sz w:val="24"/>
        <w:szCs w:val="24"/>
      </w:rPr>
      <w:t>intermédiaire indispensable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014D"/>
    <w:multiLevelType w:val="hybridMultilevel"/>
    <w:tmpl w:val="39865342"/>
    <w:lvl w:ilvl="0" w:tplc="63C86C5A">
      <w:start w:val="2"/>
      <w:numFmt w:val="bullet"/>
      <w:lvlText w:val="-"/>
      <w:lvlJc w:val="left"/>
      <w:pPr>
        <w:ind w:left="365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2B617497"/>
    <w:multiLevelType w:val="hybridMultilevel"/>
    <w:tmpl w:val="3FB2DEA0"/>
    <w:lvl w:ilvl="0" w:tplc="5B7280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198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00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04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833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EC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66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A12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81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27EDF"/>
    <w:multiLevelType w:val="hybridMultilevel"/>
    <w:tmpl w:val="333CFB6C"/>
    <w:lvl w:ilvl="0" w:tplc="C5887DE4">
      <w:numFmt w:val="bullet"/>
      <w:lvlText w:val=""/>
      <w:lvlJc w:val="left"/>
      <w:pPr>
        <w:ind w:left="503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" w15:restartNumberingAfterBreak="0">
    <w:nsid w:val="75B605D9"/>
    <w:multiLevelType w:val="hybridMultilevel"/>
    <w:tmpl w:val="F41A42AE"/>
    <w:lvl w:ilvl="0" w:tplc="902C653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854A67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2883F0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824438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264718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B60CAD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9762F00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26C3AA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13EC856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59483536">
    <w:abstractNumId w:val="3"/>
  </w:num>
  <w:num w:numId="2" w16cid:durableId="1586111709">
    <w:abstractNumId w:val="1"/>
  </w:num>
  <w:num w:numId="3" w16cid:durableId="307588898">
    <w:abstractNumId w:val="2"/>
  </w:num>
  <w:num w:numId="4" w16cid:durableId="11607793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A4"/>
    <w:rsid w:val="00026B6F"/>
    <w:rsid w:val="00070426"/>
    <w:rsid w:val="00085032"/>
    <w:rsid w:val="000932E8"/>
    <w:rsid w:val="00101D8D"/>
    <w:rsid w:val="0017738B"/>
    <w:rsid w:val="002123B2"/>
    <w:rsid w:val="002D0763"/>
    <w:rsid w:val="002F1BD3"/>
    <w:rsid w:val="003B10A9"/>
    <w:rsid w:val="003D6976"/>
    <w:rsid w:val="003F49CA"/>
    <w:rsid w:val="004C506E"/>
    <w:rsid w:val="004C6490"/>
    <w:rsid w:val="004D0D7D"/>
    <w:rsid w:val="005519EA"/>
    <w:rsid w:val="005B05DC"/>
    <w:rsid w:val="006241F7"/>
    <w:rsid w:val="00656D60"/>
    <w:rsid w:val="00704991"/>
    <w:rsid w:val="0072113D"/>
    <w:rsid w:val="00770E73"/>
    <w:rsid w:val="00806E9A"/>
    <w:rsid w:val="008A1F39"/>
    <w:rsid w:val="009804C5"/>
    <w:rsid w:val="00984053"/>
    <w:rsid w:val="00996F56"/>
    <w:rsid w:val="009E443B"/>
    <w:rsid w:val="00A12823"/>
    <w:rsid w:val="00A22ADC"/>
    <w:rsid w:val="00A230EB"/>
    <w:rsid w:val="00AE7B53"/>
    <w:rsid w:val="00B76617"/>
    <w:rsid w:val="00B87E20"/>
    <w:rsid w:val="00B917A4"/>
    <w:rsid w:val="00BE6933"/>
    <w:rsid w:val="00BF097F"/>
    <w:rsid w:val="00CD5DAC"/>
    <w:rsid w:val="00D0764B"/>
    <w:rsid w:val="00E15E22"/>
    <w:rsid w:val="00E17C76"/>
    <w:rsid w:val="00E737D6"/>
    <w:rsid w:val="00EE2698"/>
    <w:rsid w:val="00E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11F5"/>
  <w15:docId w15:val="{3F9703C4-3048-47C7-B007-0F6B2C2A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1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1"/>
    <w:qFormat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1"/>
    <w:qFormat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1">
    <w:name w:val="Titre 5 Car1"/>
    <w:basedOn w:val="Policepardfaut"/>
    <w:link w:val="Titre5"/>
    <w:rPr>
      <w:rFonts w:ascii="Cambria" w:hAnsi="Cambria" w:cs="Cambria"/>
      <w:color w:val="243F60"/>
      <w:sz w:val="22"/>
      <w:szCs w:val="22"/>
      <w:lang w:eastAsia="ar-SA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1">
    <w:name w:val="Titre 7 Car1"/>
    <w:basedOn w:val="Policepardfaut"/>
    <w:link w:val="Titre7"/>
    <w:rPr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1">
    <w:name w:val="Titre 9 Car1"/>
    <w:basedOn w:val="Policepardfaut"/>
    <w:link w:val="Titre9"/>
    <w:rPr>
      <w:rFonts w:ascii="Arial" w:hAnsi="Arial" w:cs="Arial"/>
      <w:sz w:val="22"/>
      <w:szCs w:val="22"/>
      <w:lang w:eastAsia="ar-SA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1">
    <w:name w:val="Pied de page Car1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Calibri" w:eastAsia="Times New Roman" w:hAnsi="Calibri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Arial" w:hAnsi="Arial" w:cs="Arial"/>
      <w:b/>
      <w:bCs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  <w:b/>
      <w:bCs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Calibri" w:eastAsia="Times New Roman" w:hAnsi="Calibri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4z0">
    <w:name w:val="WW8Num14z0"/>
    <w:rPr>
      <w:rFonts w:ascii="Arial" w:hAnsi="Arial" w:cs="Arial"/>
      <w:b/>
      <w:bCs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Calibri" w:eastAsia="Times New Roman" w:hAnsi="Calibri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WW8Num20z0">
    <w:name w:val="WW8Num20z0"/>
    <w:rPr>
      <w:rFonts w:ascii="Calibri" w:eastAsia="Times New Roman" w:hAnsi="Calibri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Calibri" w:eastAsia="Times New Roman" w:hAnsi="Calibri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Calibri" w:eastAsia="Times New Roman" w:hAnsi="Calibri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itre5Car">
    <w:name w:val="Titre 5 Car"/>
    <w:rPr>
      <w:rFonts w:ascii="Cambria" w:hAnsi="Cambria" w:cs="Cambria"/>
      <w:color w:val="243F60"/>
    </w:rPr>
  </w:style>
  <w:style w:type="character" w:customStyle="1" w:styleId="Titre7Car">
    <w:name w:val="Titre 7 Car"/>
    <w:rPr>
      <w:rFonts w:ascii="Times New Roman" w:hAnsi="Times New Roman" w:cs="Times New Roman"/>
      <w:sz w:val="24"/>
      <w:szCs w:val="24"/>
    </w:rPr>
  </w:style>
  <w:style w:type="character" w:customStyle="1" w:styleId="Titre9Car">
    <w:name w:val="Titre 9 Car"/>
    <w:rPr>
      <w:rFonts w:ascii="Arial" w:hAnsi="Arial" w:cs="Arial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Pr>
      <w:rFonts w:cs="Times New Roman"/>
      <w:b/>
      <w:bCs/>
    </w:rPr>
  </w:style>
  <w:style w:type="character" w:customStyle="1" w:styleId="En-tteCar">
    <w:name w:val="En-tête Car"/>
    <w:rPr>
      <w:rFonts w:cs="Calibri"/>
    </w:rPr>
  </w:style>
  <w:style w:type="character" w:customStyle="1" w:styleId="PieddepageCar">
    <w:name w:val="Pied de page Car"/>
    <w:rPr>
      <w:rFonts w:cs="Calibri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  <w:rPr>
      <w:rFonts w:cs="Times New Roman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Grillemoyenne1-Accent21">
    <w:name w:val="Grille moyenne 1 - Accent 21"/>
    <w:basedOn w:val="Normal"/>
    <w:qFormat/>
    <w:pPr>
      <w:ind w:left="720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sdetexte31">
    <w:name w:val="Corps de texte 31"/>
    <w:basedOn w:val="Normal"/>
    <w:rPr>
      <w:rFonts w:ascii="Times New Roman" w:eastAsia="Times New Roman" w:hAnsi="Times New Roman" w:cs="Times New Roman"/>
    </w:rPr>
  </w:style>
  <w:style w:type="paragraph" w:customStyle="1" w:styleId="Tramemoyenne1-Accent11">
    <w:name w:val="Trame moyenne 1 - Accent 11"/>
    <w:qFormat/>
    <w:pPr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WW-Standard">
    <w:name w:val="WW-Standard"/>
    <w:pPr>
      <w:widowControl w:val="0"/>
      <w:jc w:val="center"/>
    </w:pPr>
    <w:rPr>
      <w:rFonts w:ascii="Calibri" w:eastAsia="Calibri" w:hAnsi="Calibri" w:cs="Calibri"/>
      <w:sz w:val="24"/>
      <w:szCs w:val="24"/>
      <w:lang w:val="de-DE" w:eastAsia="ar-SA"/>
    </w:rPr>
  </w:style>
  <w:style w:type="paragraph" w:styleId="En-tte">
    <w:name w:val="header"/>
    <w:basedOn w:val="Normal"/>
    <w:link w:val="En-tteCar1"/>
  </w:style>
  <w:style w:type="paragraph" w:styleId="Pieddepage">
    <w:name w:val="footer"/>
    <w:basedOn w:val="Normal"/>
    <w:link w:val="PieddepageCar1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rPr>
      <w:b/>
      <w:bCs/>
    </w:rPr>
  </w:style>
  <w:style w:type="paragraph" w:styleId="Titre">
    <w:name w:val="Title"/>
    <w:basedOn w:val="Normal"/>
    <w:next w:val="Sous-titre"/>
    <w:link w:val="TitreC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Car">
    <w:name w:val="Titre Car"/>
    <w:link w:val="Titre"/>
    <w:rPr>
      <w:b/>
      <w:bCs/>
      <w:sz w:val="24"/>
      <w:szCs w:val="24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Pr>
      <w:rFonts w:ascii="Calibri" w:eastAsia="Calibri" w:hAnsi="Calibri" w:cs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Calibri" w:eastAsia="Calibri" w:hAnsi="Calibri" w:cs="Calibri"/>
      <w:b/>
      <w:bCs/>
      <w:lang w:eastAsia="ar-SA"/>
    </w:rPr>
  </w:style>
  <w:style w:type="paragraph" w:customStyle="1" w:styleId="Listemoyenne2-Accent21">
    <w:name w:val="Liste moyenne 2 - Accent 21"/>
    <w:hidden/>
    <w:uiPriority w:val="99"/>
    <w:semiHidden/>
    <w:rPr>
      <w:rFonts w:ascii="Calibri" w:eastAsia="Calibri" w:hAnsi="Calibri" w:cs="Calibri"/>
      <w:sz w:val="22"/>
      <w:szCs w:val="22"/>
      <w:lang w:eastAsia="ar-SA"/>
    </w:rPr>
  </w:style>
  <w:style w:type="character" w:customStyle="1" w:styleId="CorpsdetexteCar">
    <w:name w:val="Corps de texte Car"/>
    <w:link w:val="Corpsdetexte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643E0-339D-404D-952E-F827B916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ECE_26_SVT</dc:creator>
  <cp:keywords/>
  <cp:lastModifiedBy>FLORIMOND Anne</cp:lastModifiedBy>
  <cp:revision>13</cp:revision>
  <dcterms:created xsi:type="dcterms:W3CDTF">2025-10-21T17:32:00Z</dcterms:created>
  <dcterms:modified xsi:type="dcterms:W3CDTF">2025-10-26T09:33:00Z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0x010100873AB55E0CC5DA459F57F5A42893F46A005A087D358B12CA4E82A8A8BA9B8A8CF200D3544DBFAD4F664AA25DF68E6D1F0A9E00689F2856DFEDCE40890FDCED81A7DFC900F734428F0E6ACB4EAAFA1F605D28DD0C</vt:lpwstr>
  </property>
  <property fmtid="{D5CDD505-2E9C-101B-9397-08002B2CF9AE}" pid="3" name="Description0">
    <vt:lpwstr>spécificité des enzymes digestives</vt:lpwstr>
  </property>
</Properties>
</file>