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4F9D" w14:textId="248948CC" w:rsidR="00B917A4" w:rsidRDefault="00547FB3" w:rsidP="00547FB3">
      <w:pPr>
        <w:tabs>
          <w:tab w:val="left" w:pos="117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E443B">
        <w:rPr>
          <w:rFonts w:ascii="Arial" w:hAnsi="Arial" w:cs="Arial"/>
          <w:sz w:val="24"/>
          <w:szCs w:val="24"/>
        </w:rPr>
        <w:t xml:space="preserve">Fiche laboratoire et évaluateur </w:t>
      </w: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111"/>
        <w:gridCol w:w="3260"/>
        <w:gridCol w:w="3260"/>
      </w:tblGrid>
      <w:tr w:rsidR="00B917A4" w14:paraId="29DDA455" w14:textId="77777777" w:rsidTr="00547FB3">
        <w:trPr>
          <w:trHeight w:val="1169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0D81" w14:textId="77777777" w:rsidR="00B917A4" w:rsidRPr="00547FB3" w:rsidRDefault="009E443B" w:rsidP="002413BA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317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</w:pPr>
            <w:r w:rsidRPr="00547FB3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Matériel indiqué sur la fiche candidat</w:t>
            </w:r>
            <w:r w:rsidRPr="00547FB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F50B" w14:textId="77777777" w:rsidR="00B917A4" w:rsidRDefault="009E443B" w:rsidP="005519EA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Précisions pour le laboratoire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5F0B" w14:textId="77777777" w:rsidR="00B917A4" w:rsidRDefault="009E443B" w:rsidP="005519EA">
            <w:pPr>
              <w:spacing w:before="120" w:after="120"/>
              <w:ind w:left="31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Remarques à l’évaluateur</w:t>
            </w:r>
          </w:p>
        </w:tc>
        <w:tc>
          <w:tcPr>
            <w:tcW w:w="3260" w:type="dxa"/>
            <w:vAlign w:val="center"/>
          </w:tcPr>
          <w:p w14:paraId="0E032636" w14:textId="3FF54C49" w:rsidR="00B917A4" w:rsidRPr="005519EA" w:rsidRDefault="009E443B" w:rsidP="0050003A">
            <w:pPr>
              <w:pStyle w:val="NormalWeb"/>
              <w:spacing w:before="120" w:after="120"/>
              <w:ind w:left="136" w:right="137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Ressources et/ou informations à donner au candidat au cours de l’épreuve</w:t>
            </w:r>
          </w:p>
        </w:tc>
      </w:tr>
      <w:tr w:rsidR="005519EA" w14:paraId="43441036" w14:textId="77777777" w:rsidTr="00547FB3">
        <w:tc>
          <w:tcPr>
            <w:tcW w:w="46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3B14" w14:textId="77777777" w:rsidR="002413BA" w:rsidRPr="002413BA" w:rsidRDefault="002413BA" w:rsidP="002413BA">
            <w:pPr>
              <w:pStyle w:val="Paragraphedeliste"/>
              <w:numPr>
                <w:ilvl w:val="0"/>
                <w:numId w:val="8"/>
              </w:numPr>
              <w:tabs>
                <w:tab w:val="left" w:pos="176"/>
              </w:tabs>
              <w:ind w:left="317"/>
              <w:jc w:val="both"/>
              <w:rPr>
                <w:rFonts w:ascii="Arial" w:hAnsi="Arial" w:cs="Arial"/>
                <w:bCs/>
                <w:i/>
                <w:iCs/>
                <w:sz w:val="24"/>
                <w:szCs w:val="20"/>
              </w:rPr>
            </w:pPr>
            <w:r w:rsidRPr="002413BA">
              <w:rPr>
                <w:rFonts w:ascii="Arial" w:hAnsi="Arial" w:cs="Arial"/>
                <w:bCs/>
                <w:sz w:val="24"/>
                <w:szCs w:val="20"/>
              </w:rPr>
              <w:t xml:space="preserve">sérums de différentes souris </w:t>
            </w:r>
          </w:p>
          <w:p w14:paraId="333B4498" w14:textId="77777777" w:rsidR="002413BA" w:rsidRPr="002413BA" w:rsidRDefault="002413BA" w:rsidP="002413BA">
            <w:pPr>
              <w:pStyle w:val="Paragraphedeliste"/>
              <w:numPr>
                <w:ilvl w:val="0"/>
                <w:numId w:val="8"/>
              </w:numPr>
              <w:tabs>
                <w:tab w:val="left" w:pos="176"/>
              </w:tabs>
              <w:ind w:left="317"/>
              <w:jc w:val="both"/>
              <w:rPr>
                <w:rFonts w:ascii="Arial" w:hAnsi="Arial" w:cs="Arial"/>
                <w:bCs/>
                <w:sz w:val="24"/>
                <w:szCs w:val="20"/>
              </w:rPr>
            </w:pPr>
            <w:r w:rsidRPr="002413BA">
              <w:rPr>
                <w:rFonts w:ascii="Arial" w:hAnsi="Arial" w:cs="Arial"/>
                <w:bCs/>
                <w:sz w:val="24"/>
                <w:szCs w:val="20"/>
              </w:rPr>
              <w:t>flacon de suspension d’hématies de moutons  (= GRM = globules rouges de mouton) ayant valeur d’antigènes</w:t>
            </w:r>
          </w:p>
          <w:p w14:paraId="2A1E7DAC" w14:textId="77777777" w:rsidR="002413BA" w:rsidRPr="002413BA" w:rsidRDefault="002413BA" w:rsidP="002413BA">
            <w:pPr>
              <w:pStyle w:val="Paragraphedeliste"/>
              <w:numPr>
                <w:ilvl w:val="0"/>
                <w:numId w:val="8"/>
              </w:numPr>
              <w:suppressAutoHyphens/>
              <w:ind w:left="317"/>
              <w:jc w:val="left"/>
              <w:rPr>
                <w:bCs/>
                <w:sz w:val="24"/>
                <w:szCs w:val="20"/>
              </w:rPr>
            </w:pPr>
            <w:r w:rsidRPr="002413BA">
              <w:rPr>
                <w:rFonts w:ascii="Arial" w:hAnsi="Arial" w:cs="Arial"/>
                <w:bCs/>
                <w:sz w:val="24"/>
                <w:szCs w:val="20"/>
              </w:rPr>
              <w:t>microscope(s)</w:t>
            </w:r>
          </w:p>
          <w:p w14:paraId="6EC7FFBB" w14:textId="77777777" w:rsidR="002413BA" w:rsidRPr="002413BA" w:rsidRDefault="002413BA" w:rsidP="002413BA">
            <w:pPr>
              <w:pStyle w:val="Paragraphedeliste"/>
              <w:numPr>
                <w:ilvl w:val="0"/>
                <w:numId w:val="8"/>
              </w:numPr>
              <w:suppressAutoHyphens/>
              <w:ind w:left="317"/>
              <w:jc w:val="left"/>
              <w:rPr>
                <w:bCs/>
                <w:sz w:val="24"/>
                <w:szCs w:val="20"/>
              </w:rPr>
            </w:pPr>
            <w:r w:rsidRPr="002413BA">
              <w:rPr>
                <w:rFonts w:ascii="Arial" w:hAnsi="Arial" w:cs="Arial"/>
                <w:bCs/>
                <w:sz w:val="24"/>
                <w:szCs w:val="20"/>
              </w:rPr>
              <w:t>lames et lamelles</w:t>
            </w:r>
          </w:p>
          <w:p w14:paraId="09AA9762" w14:textId="77777777" w:rsidR="002413BA" w:rsidRPr="002413BA" w:rsidRDefault="002413BA" w:rsidP="002413BA">
            <w:pPr>
              <w:pStyle w:val="Paragraphedeliste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60" w:line="256" w:lineRule="auto"/>
              <w:ind w:left="31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413BA">
              <w:rPr>
                <w:rFonts w:ascii="Arial" w:hAnsi="Arial" w:cs="Arial"/>
                <w:bCs/>
                <w:sz w:val="24"/>
                <w:szCs w:val="20"/>
              </w:rPr>
              <w:t>marqueur permanent</w:t>
            </w:r>
          </w:p>
          <w:p w14:paraId="707E342F" w14:textId="77777777" w:rsidR="002413BA" w:rsidRPr="002413BA" w:rsidRDefault="002413BA" w:rsidP="002413BA">
            <w:pPr>
              <w:pStyle w:val="Paragraphedeliste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60" w:line="256" w:lineRule="auto"/>
              <w:ind w:left="31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413BA">
              <w:rPr>
                <w:rFonts w:ascii="Arial" w:hAnsi="Arial" w:cs="Arial"/>
                <w:bCs/>
                <w:sz w:val="24"/>
                <w:szCs w:val="20"/>
              </w:rPr>
              <w:t>pipettes compte-gouttes</w:t>
            </w:r>
          </w:p>
          <w:p w14:paraId="34A4E802" w14:textId="77777777" w:rsidR="002413BA" w:rsidRPr="002413BA" w:rsidRDefault="002413BA" w:rsidP="002413BA">
            <w:pPr>
              <w:pStyle w:val="Paragraphedeliste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60" w:line="256" w:lineRule="auto"/>
              <w:ind w:left="31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413BA">
              <w:rPr>
                <w:rFonts w:ascii="Arial" w:hAnsi="Arial" w:cs="Arial"/>
                <w:bCs/>
                <w:sz w:val="24"/>
                <w:szCs w:val="20"/>
              </w:rPr>
              <w:t>agitateurs (ou cure-dents)</w:t>
            </w:r>
          </w:p>
          <w:p w14:paraId="35657529" w14:textId="77777777" w:rsidR="002413BA" w:rsidRPr="002413BA" w:rsidRDefault="002413BA" w:rsidP="002413BA">
            <w:pPr>
              <w:pStyle w:val="Paragraphedeliste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60" w:line="256" w:lineRule="auto"/>
              <w:ind w:left="31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413BA">
              <w:rPr>
                <w:rFonts w:ascii="Arial" w:hAnsi="Arial" w:cs="Arial"/>
                <w:bCs/>
                <w:sz w:val="24"/>
                <w:szCs w:val="20"/>
              </w:rPr>
              <w:t>c</w:t>
            </w:r>
            <w:r w:rsidRPr="002413BA">
              <w:rPr>
                <w:rFonts w:ascii="Arial" w:hAnsi="Arial" w:cs="Arial"/>
                <w:bCs/>
                <w:color w:val="000000"/>
                <w:sz w:val="24"/>
                <w:szCs w:val="20"/>
              </w:rPr>
              <w:t>hronomètre</w:t>
            </w:r>
          </w:p>
          <w:p w14:paraId="104C76F8" w14:textId="4BFB02FE" w:rsidR="002413BA" w:rsidRPr="002413BA" w:rsidRDefault="002413BA" w:rsidP="002413BA">
            <w:pPr>
              <w:pStyle w:val="Paragraphedeliste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60" w:line="256" w:lineRule="auto"/>
              <w:ind w:left="31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413BA">
              <w:rPr>
                <w:rFonts w:ascii="Arial" w:hAnsi="Arial" w:cs="Arial"/>
                <w:bCs/>
                <w:color w:val="000000"/>
                <w:sz w:val="24"/>
                <w:szCs w:val="20"/>
              </w:rPr>
              <w:t xml:space="preserve">fiche </w:t>
            </w:r>
            <w:r w:rsidR="007E7655">
              <w:rPr>
                <w:rFonts w:ascii="Arial" w:hAnsi="Arial" w:cs="Arial"/>
                <w:bCs/>
                <w:color w:val="000000"/>
                <w:sz w:val="24"/>
                <w:szCs w:val="20"/>
              </w:rPr>
              <w:t xml:space="preserve">protocole </w:t>
            </w:r>
            <w:r w:rsidRPr="002413BA">
              <w:rPr>
                <w:rFonts w:ascii="Arial" w:hAnsi="Arial" w:cs="Arial"/>
                <w:bCs/>
                <w:color w:val="000000"/>
                <w:sz w:val="24"/>
                <w:szCs w:val="20"/>
              </w:rPr>
              <w:t>: réaliser un test d’agglutination</w:t>
            </w:r>
          </w:p>
          <w:p w14:paraId="2F483E47" w14:textId="0D6B6366" w:rsidR="002413BA" w:rsidRPr="002413BA" w:rsidRDefault="002413BA" w:rsidP="002413BA">
            <w:pPr>
              <w:pStyle w:val="Paragraphedeliste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60" w:line="256" w:lineRule="auto"/>
              <w:ind w:left="317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2413BA">
              <w:rPr>
                <w:rFonts w:ascii="Arial" w:hAnsi="Arial" w:cs="Arial"/>
                <w:bCs/>
                <w:sz w:val="24"/>
              </w:rPr>
              <w:t>modèle numérique mu</w:t>
            </w:r>
            <w:r w:rsidR="00372FB0">
              <w:rPr>
                <w:rFonts w:ascii="Arial" w:hAnsi="Arial" w:cs="Arial"/>
                <w:bCs/>
                <w:sz w:val="24"/>
              </w:rPr>
              <w:t>l</w:t>
            </w:r>
            <w:r w:rsidRPr="002413BA">
              <w:rPr>
                <w:rFonts w:ascii="Arial" w:hAnsi="Arial" w:cs="Arial"/>
                <w:bCs/>
                <w:sz w:val="24"/>
              </w:rPr>
              <w:t>ti-agents « </w:t>
            </w:r>
            <w:r w:rsidR="00446482" w:rsidRPr="00446482">
              <w:rPr>
                <w:rFonts w:ascii="Arial" w:hAnsi="Arial" w:cs="Arial"/>
                <w:bCs/>
                <w:sz w:val="24"/>
              </w:rPr>
              <w:t>Chambre_Marbrook.modele </w:t>
            </w:r>
            <w:r w:rsidRPr="002413BA">
              <w:rPr>
                <w:rFonts w:ascii="Arial" w:hAnsi="Arial" w:cs="Arial"/>
                <w:bCs/>
                <w:sz w:val="24"/>
              </w:rPr>
              <w:t>» permettant de reproduire les travaux de Marbrook.</w:t>
            </w:r>
          </w:p>
          <w:p w14:paraId="0189F28D" w14:textId="77777777" w:rsidR="002413BA" w:rsidRPr="002413BA" w:rsidRDefault="002413BA" w:rsidP="002413BA">
            <w:pPr>
              <w:pStyle w:val="Paragraphedeliste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60" w:line="256" w:lineRule="auto"/>
              <w:ind w:left="317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2413BA">
              <w:rPr>
                <w:rFonts w:ascii="Arial" w:hAnsi="Arial" w:cs="Arial"/>
                <w:bCs/>
                <w:sz w:val="24"/>
              </w:rPr>
              <w:t>logiciel Edu’modèles</w:t>
            </w:r>
          </w:p>
          <w:p w14:paraId="36F62BFE" w14:textId="242ACD03" w:rsidR="005519EA" w:rsidRPr="002413BA" w:rsidRDefault="002413BA" w:rsidP="002413BA">
            <w:pPr>
              <w:pStyle w:val="NormalWeb"/>
              <w:numPr>
                <w:ilvl w:val="0"/>
                <w:numId w:val="8"/>
              </w:numPr>
              <w:spacing w:before="120" w:after="120"/>
              <w:ind w:left="317"/>
              <w:jc w:val="both"/>
              <w:rPr>
                <w:rFonts w:ascii="Arial" w:hAnsi="Arial" w:cs="Arial"/>
                <w:bCs/>
                <w:i/>
              </w:rPr>
            </w:pPr>
            <w:r w:rsidRPr="002413BA">
              <w:rPr>
                <w:rFonts w:ascii="Arial" w:hAnsi="Arial" w:cs="Arial"/>
                <w:bCs/>
              </w:rPr>
              <w:t>fiche technique du logiciel Edu’modèles</w:t>
            </w:r>
          </w:p>
        </w:tc>
        <w:tc>
          <w:tcPr>
            <w:tcW w:w="4111" w:type="dxa"/>
            <w:vMerge w:val="restart"/>
          </w:tcPr>
          <w:p w14:paraId="481524A4" w14:textId="0BA280DE" w:rsidR="005519EA" w:rsidRPr="0050003A" w:rsidRDefault="005519EA" w:rsidP="005519EA">
            <w:pPr>
              <w:numPr>
                <w:ilvl w:val="0"/>
                <w:numId w:val="4"/>
              </w:numPr>
              <w:tabs>
                <w:tab w:val="left" w:pos="176"/>
              </w:tabs>
              <w:spacing w:before="120" w:after="120"/>
              <w:ind w:left="47" w:right="13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03A">
              <w:rPr>
                <w:rFonts w:ascii="Arial" w:hAnsi="Arial" w:cs="Arial"/>
                <w:color w:val="FF0000"/>
              </w:rPr>
              <w:t xml:space="preserve"> </w:t>
            </w:r>
            <w:r w:rsidR="0050003A" w:rsidRPr="005000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Contenus réels  des tubes  </w:t>
            </w:r>
            <w:r w:rsidR="0050003A" w:rsidRPr="0050003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97FEBB9" w14:textId="17C66790" w:rsidR="0050003A" w:rsidRPr="0050003A" w:rsidRDefault="0050003A" w:rsidP="005519EA">
            <w:pPr>
              <w:numPr>
                <w:ilvl w:val="0"/>
                <w:numId w:val="4"/>
              </w:numPr>
              <w:tabs>
                <w:tab w:val="left" w:pos="176"/>
              </w:tabs>
              <w:spacing w:before="120" w:after="120"/>
              <w:ind w:left="47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03A">
              <w:rPr>
                <w:rFonts w:ascii="Arial" w:hAnsi="Arial" w:cs="Arial"/>
                <w:sz w:val="24"/>
                <w:szCs w:val="24"/>
              </w:rPr>
              <w:t>GRM : Sang groupe sanguin A du kit groupes sanguins</w:t>
            </w:r>
          </w:p>
          <w:p w14:paraId="6E2B8430" w14:textId="22143DF2" w:rsidR="005519EA" w:rsidRPr="0050003A" w:rsidRDefault="0050003A" w:rsidP="005519EA">
            <w:pPr>
              <w:pStyle w:val="NormalWeb"/>
              <w:spacing w:before="120" w:after="120"/>
              <w:ind w:left="47" w:right="130"/>
              <w:jc w:val="both"/>
              <w:rPr>
                <w:rFonts w:ascii="Arial" w:hAnsi="Arial" w:cs="Arial"/>
              </w:rPr>
            </w:pPr>
            <w:r w:rsidRPr="0050003A">
              <w:rPr>
                <w:rFonts w:ascii="Arial" w:hAnsi="Arial" w:cs="Arial"/>
              </w:rPr>
              <w:t>Souris témoin ayant reçu une  injection de GRM : Sérum groupe sanguin O du kit groupes sanguins</w:t>
            </w:r>
          </w:p>
          <w:p w14:paraId="3B8EF835" w14:textId="593D9146" w:rsidR="0050003A" w:rsidRPr="0050003A" w:rsidRDefault="0050003A" w:rsidP="005519EA">
            <w:pPr>
              <w:pStyle w:val="NormalWeb"/>
              <w:spacing w:before="120" w:after="120"/>
              <w:ind w:left="47" w:right="1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03A">
              <w:rPr>
                <w:rFonts w:ascii="Arial" w:hAnsi="Arial" w:cs="Arial"/>
              </w:rPr>
              <w:t>Souris thymectomisée ayant  reçu une injection de GRM : Sérum groupe sanguin A du kit groupes sanguins</w:t>
            </w:r>
          </w:p>
          <w:p w14:paraId="6076D218" w14:textId="77777777" w:rsidR="0050003A" w:rsidRPr="0050003A" w:rsidRDefault="005519EA" w:rsidP="0050003A">
            <w:pPr>
              <w:numPr>
                <w:ilvl w:val="0"/>
                <w:numId w:val="4"/>
              </w:numPr>
              <w:tabs>
                <w:tab w:val="left" w:pos="176"/>
              </w:tabs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003A">
              <w:rPr>
                <w:rFonts w:ascii="Arial" w:hAnsi="Arial" w:cs="Arial"/>
                <w:b/>
                <w:sz w:val="24"/>
                <w:szCs w:val="24"/>
              </w:rPr>
              <w:t>Matériel à apporter après l’élaboration de stratégie</w:t>
            </w:r>
            <w:r w:rsidR="002123B2" w:rsidRPr="005000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D87D41" w14:textId="6E0520FE" w:rsidR="005519EA" w:rsidRPr="00EA65CC" w:rsidRDefault="0050003A" w:rsidP="0050003A">
            <w:pPr>
              <w:numPr>
                <w:ilvl w:val="0"/>
                <w:numId w:val="4"/>
              </w:numPr>
              <w:tabs>
                <w:tab w:val="left" w:pos="176"/>
              </w:tabs>
              <w:spacing w:before="120" w:after="120"/>
              <w:ind w:left="47" w:right="130"/>
              <w:jc w:val="left"/>
              <w:rPr>
                <w:rFonts w:ascii="Arial" w:hAnsi="Arial" w:cs="Arial"/>
                <w:b/>
              </w:rPr>
            </w:pPr>
            <w:r w:rsidRPr="0050003A">
              <w:rPr>
                <w:rFonts w:ascii="Arial" w:hAnsi="Arial" w:cs="Arial"/>
                <w:sz w:val="24"/>
                <w:szCs w:val="24"/>
              </w:rPr>
              <w:t xml:space="preserve">Deux flacons de sérums de souris étiquetés l’un </w:t>
            </w:r>
            <w:r w:rsidR="00C2624A">
              <w:rPr>
                <w:rFonts w:ascii="Arial" w:hAnsi="Arial" w:cs="Arial"/>
                <w:sz w:val="24"/>
                <w:szCs w:val="24"/>
              </w:rPr>
              <w:t>« </w:t>
            </w:r>
            <w:r w:rsidRPr="0050003A">
              <w:rPr>
                <w:rFonts w:ascii="Arial" w:hAnsi="Arial" w:cs="Arial"/>
                <w:sz w:val="24"/>
                <w:szCs w:val="24"/>
              </w:rPr>
              <w:t>sérum souris témoin ayant reçu une injection de GRM</w:t>
            </w:r>
            <w:r w:rsidR="00C2624A">
              <w:rPr>
                <w:rFonts w:ascii="Arial" w:hAnsi="Arial" w:cs="Arial"/>
                <w:sz w:val="24"/>
                <w:szCs w:val="24"/>
              </w:rPr>
              <w:t> »</w:t>
            </w:r>
            <w:r w:rsidRPr="0050003A">
              <w:rPr>
                <w:rFonts w:ascii="Arial" w:hAnsi="Arial" w:cs="Arial"/>
                <w:sz w:val="24"/>
                <w:szCs w:val="24"/>
              </w:rPr>
              <w:t xml:space="preserve"> et l’autre </w:t>
            </w:r>
            <w:r w:rsidR="00C2624A">
              <w:rPr>
                <w:rFonts w:ascii="Arial" w:hAnsi="Arial" w:cs="Arial"/>
                <w:sz w:val="24"/>
                <w:szCs w:val="24"/>
              </w:rPr>
              <w:t>« </w:t>
            </w:r>
            <w:r w:rsidRPr="0050003A">
              <w:rPr>
                <w:rFonts w:ascii="Arial" w:hAnsi="Arial" w:cs="Arial"/>
                <w:sz w:val="24"/>
                <w:szCs w:val="24"/>
              </w:rPr>
              <w:t>sérum souris thymectomisée ayant reçu une injection de GRM</w:t>
            </w:r>
            <w:r w:rsidR="00C2624A">
              <w:rPr>
                <w:rFonts w:ascii="Arial" w:hAnsi="Arial" w:cs="Arial"/>
                <w:sz w:val="24"/>
                <w:szCs w:val="24"/>
              </w:rPr>
              <w:t> »</w:t>
            </w:r>
          </w:p>
        </w:tc>
        <w:tc>
          <w:tcPr>
            <w:tcW w:w="3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A2A57" w14:textId="77777777" w:rsidR="005519EA" w:rsidRDefault="005519EA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Aides majeures</w:t>
            </w:r>
          </w:p>
          <w:p w14:paraId="69DA7ADC" w14:textId="40878CB7" w:rsidR="007E7655" w:rsidRPr="007E7655" w:rsidRDefault="00C2624A" w:rsidP="007E7655">
            <w:pPr>
              <w:pStyle w:val="NormalWeb"/>
              <w:numPr>
                <w:ilvl w:val="0"/>
                <w:numId w:val="10"/>
              </w:numPr>
              <w:spacing w:before="120" w:after="120"/>
              <w:ind w:left="31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E7655">
              <w:rPr>
                <w:rFonts w:ascii="Arial" w:hAnsi="Arial" w:cs="Arial"/>
              </w:rPr>
              <w:t>éalisation de la mise au point (micro</w:t>
            </w:r>
            <w:r>
              <w:rPr>
                <w:rFonts w:ascii="Arial" w:hAnsi="Arial" w:cs="Arial"/>
              </w:rPr>
              <w:t>s</w:t>
            </w:r>
            <w:r w:rsidR="007E7655">
              <w:rPr>
                <w:rFonts w:ascii="Arial" w:hAnsi="Arial" w:cs="Arial"/>
              </w:rPr>
              <w:t>cope</w:t>
            </w:r>
            <w:r>
              <w:rPr>
                <w:rFonts w:ascii="Arial" w:hAnsi="Arial" w:cs="Arial"/>
              </w:rPr>
              <w:t>)</w:t>
            </w:r>
            <w:r w:rsidR="007E765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sur les GRM (agglutinés ou non) </w:t>
            </w:r>
            <w:r w:rsidR="007E7655">
              <w:rPr>
                <w:rFonts w:ascii="Arial" w:hAnsi="Arial" w:cs="Arial"/>
              </w:rPr>
              <w:t xml:space="preserve">à </w:t>
            </w:r>
            <w:r>
              <w:rPr>
                <w:rFonts w:ascii="Arial" w:hAnsi="Arial" w:cs="Arial"/>
              </w:rPr>
              <w:t xml:space="preserve">la place du candidat   </w:t>
            </w:r>
          </w:p>
          <w:p w14:paraId="05BAC8A9" w14:textId="253AA634" w:rsidR="0050003A" w:rsidRPr="007E7655" w:rsidRDefault="00C2624A" w:rsidP="007E7655">
            <w:pPr>
              <w:pStyle w:val="NormalWeb"/>
              <w:numPr>
                <w:ilvl w:val="0"/>
                <w:numId w:val="9"/>
              </w:numPr>
              <w:spacing w:before="120" w:after="120"/>
              <w:ind w:left="317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="007E7655">
              <w:rPr>
                <w:rFonts w:ascii="Arial" w:hAnsi="Arial" w:cs="Arial"/>
                <w:bCs/>
              </w:rPr>
              <w:t>ide au placement des agents dans la chambre de Marbrook</w:t>
            </w:r>
          </w:p>
          <w:p w14:paraId="39978493" w14:textId="69B0B529" w:rsidR="005519EA" w:rsidRDefault="005519EA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Documents de secours (à construire avec le matériel de l’établissement) : </w:t>
            </w:r>
          </w:p>
          <w:p w14:paraId="581E9289" w14:textId="0607B316" w:rsidR="00C2624A" w:rsidRDefault="00C2624A" w:rsidP="00C2624A">
            <w:pPr>
              <w:pStyle w:val="NormalWeb"/>
              <w:numPr>
                <w:ilvl w:val="0"/>
                <w:numId w:val="4"/>
              </w:numPr>
              <w:spacing w:before="120" w:after="120"/>
              <w:ind w:left="175" w:firstLine="18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microphotographies du résultat des deux tests d’agglutination</w:t>
            </w:r>
          </w:p>
          <w:p w14:paraId="43CB6FBA" w14:textId="69B2A33B" w:rsidR="005519EA" w:rsidRDefault="00C2624A" w:rsidP="00C2624A">
            <w:pPr>
              <w:pStyle w:val="NormalWeb"/>
              <w:numPr>
                <w:ilvl w:val="0"/>
                <w:numId w:val="4"/>
              </w:numPr>
              <w:spacing w:before="120" w:after="120"/>
              <w:ind w:left="175" w:firstLine="185"/>
              <w:jc w:val="left"/>
              <w:rPr>
                <w:rFonts w:ascii="Arial" w:hAnsi="Arial" w:cs="Arial"/>
              </w:rPr>
            </w:pPr>
            <w:r w:rsidRPr="00C2624A">
              <w:rPr>
                <w:rFonts w:ascii="Arial" w:hAnsi="Arial" w:cs="Arial"/>
              </w:rPr>
              <w:t xml:space="preserve">captures   d’écrans  de simulations numériques des travaux de Marbrook </w:t>
            </w:r>
          </w:p>
        </w:tc>
        <w:tc>
          <w:tcPr>
            <w:tcW w:w="3260" w:type="dxa"/>
          </w:tcPr>
          <w:p w14:paraId="6E8A1B3E" w14:textId="76BFABD3" w:rsidR="006241F7" w:rsidRPr="00B87E20" w:rsidRDefault="00EA65CC" w:rsidP="00B87E20">
            <w:pPr>
              <w:pStyle w:val="NormalWeb"/>
              <w:spacing w:before="120" w:after="120"/>
              <w:ind w:left="143"/>
              <w:jc w:val="left"/>
              <w:rPr>
                <w:rFonts w:ascii="Arial" w:hAnsi="Arial" w:cs="Arial"/>
                <w:b/>
                <w:color w:val="4472C4" w:themeColor="accent1"/>
              </w:rPr>
            </w:pPr>
            <w:r w:rsidRPr="00704991">
              <w:rPr>
                <w:rFonts w:ascii="Arial" w:hAnsi="Arial" w:cs="Arial"/>
                <w:b/>
              </w:rPr>
              <w:t xml:space="preserve">Indiquer oralement au candidat </w:t>
            </w:r>
            <w:r w:rsidRPr="00704991">
              <w:rPr>
                <w:rFonts w:ascii="Arial" w:hAnsi="Arial" w:cs="Arial"/>
              </w:rPr>
              <w:t xml:space="preserve">dès le début de l’épreuve que la situation </w:t>
            </w:r>
            <w:r w:rsidRPr="0050003A">
              <w:rPr>
                <w:rFonts w:ascii="Arial" w:hAnsi="Arial" w:cs="Arial"/>
              </w:rPr>
              <w:t>comporte</w:t>
            </w:r>
            <w:r w:rsidRPr="0050003A">
              <w:rPr>
                <w:rFonts w:ascii="Arial" w:hAnsi="Arial" w:cs="Arial"/>
                <w:b/>
              </w:rPr>
              <w:t xml:space="preserve"> </w:t>
            </w:r>
            <w:r w:rsidRPr="0050003A">
              <w:rPr>
                <w:rFonts w:ascii="Arial" w:hAnsi="Arial" w:cs="Arial"/>
              </w:rPr>
              <w:t xml:space="preserve">2 </w:t>
            </w:r>
            <w:r w:rsidRPr="00704991">
              <w:rPr>
                <w:rFonts w:ascii="Arial" w:hAnsi="Arial" w:cs="Arial"/>
              </w:rPr>
              <w:t>gestes techniques</w:t>
            </w:r>
          </w:p>
        </w:tc>
      </w:tr>
      <w:tr w:rsidR="00EA65CC" w14:paraId="3097AD4D" w14:textId="77777777" w:rsidTr="00547FB3">
        <w:trPr>
          <w:trHeight w:val="4132"/>
        </w:trPr>
        <w:tc>
          <w:tcPr>
            <w:tcW w:w="46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B6AB" w14:textId="77777777" w:rsidR="00EA65CC" w:rsidRDefault="00EA65CC" w:rsidP="005519EA">
            <w:pPr>
              <w:pStyle w:val="NormalWeb"/>
              <w:spacing w:before="0" w:after="0"/>
              <w:ind w:left="171"/>
              <w:jc w:val="both"/>
              <w:rPr>
                <w:rFonts w:ascii="Arial" w:hAnsi="Arial" w:cs="Arial"/>
                <w:b/>
                <w:color w:val="FF0000"/>
                <w:lang w:eastAsia="en-US"/>
              </w:rPr>
            </w:pPr>
          </w:p>
        </w:tc>
        <w:tc>
          <w:tcPr>
            <w:tcW w:w="4111" w:type="dxa"/>
            <w:vMerge/>
          </w:tcPr>
          <w:p w14:paraId="0C2289CD" w14:textId="77777777" w:rsidR="00EA65CC" w:rsidRDefault="00EA65CC" w:rsidP="005519EA">
            <w:pPr>
              <w:pStyle w:val="NormalWeb"/>
              <w:spacing w:before="0" w:after="0"/>
              <w:ind w:left="47" w:right="13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427C" w14:textId="77777777" w:rsidR="00EA65CC" w:rsidRDefault="00EA65CC" w:rsidP="005519EA">
            <w:pPr>
              <w:pStyle w:val="NormalWeb"/>
              <w:spacing w:before="0" w:after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2BBC4DB0" w14:textId="77777777" w:rsidR="00EA65CC" w:rsidRDefault="00EA65CC" w:rsidP="005519EA">
            <w:pPr>
              <w:pStyle w:val="NormalWeb"/>
              <w:spacing w:before="120" w:after="120"/>
              <w:ind w:left="138" w:right="137"/>
              <w:jc w:val="left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</w:p>
          <w:p w14:paraId="71FD2D14" w14:textId="77777777" w:rsidR="00EA65CC" w:rsidRDefault="00EA65CC" w:rsidP="005519EA">
            <w:pPr>
              <w:pStyle w:val="NormalWeb"/>
              <w:spacing w:before="120" w:after="120"/>
              <w:ind w:left="138" w:right="137"/>
              <w:jc w:val="left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Après l’interaction orale sur l’élaboration de la stratégie :</w:t>
            </w:r>
          </w:p>
          <w:p w14:paraId="18B757CC" w14:textId="1A016808" w:rsidR="00EA65CC" w:rsidRDefault="00EA65CC" w:rsidP="00E17C76">
            <w:pPr>
              <w:pStyle w:val="NormalWeb"/>
              <w:numPr>
                <w:ilvl w:val="0"/>
                <w:numId w:val="2"/>
              </w:numPr>
              <w:spacing w:before="120" w:after="120"/>
              <w:ind w:right="137"/>
              <w:jc w:val="left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eastAsia="en-US"/>
              </w:rPr>
              <w:t xml:space="preserve">Donner le matériel complémentaire </w:t>
            </w:r>
          </w:p>
          <w:p w14:paraId="132DA1D2" w14:textId="77777777" w:rsidR="00EA65CC" w:rsidRDefault="00EA65CC" w:rsidP="00B87E20">
            <w:pPr>
              <w:pStyle w:val="NormalWeb"/>
              <w:spacing w:before="120" w:after="120"/>
              <w:ind w:right="137"/>
              <w:jc w:val="left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</w:p>
          <w:p w14:paraId="3BE3E367" w14:textId="47FB522C" w:rsidR="00EA65CC" w:rsidRPr="00B87E20" w:rsidRDefault="00EA65CC" w:rsidP="00547FB3">
            <w:pPr>
              <w:pStyle w:val="NormalWeb"/>
              <w:spacing w:before="120" w:after="120"/>
              <w:ind w:left="138" w:right="137"/>
              <w:jc w:val="left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EA65CC">
              <w:rPr>
                <w:rFonts w:ascii="Arial" w:hAnsi="Arial" w:cs="Arial"/>
                <w:b/>
                <w:color w:val="000000" w:themeColor="text1"/>
                <w:lang w:eastAsia="en-US"/>
              </w:rPr>
              <w:t xml:space="preserve">À l’issue de la communication, </w:t>
            </w:r>
            <w:r w:rsidRPr="00EA65CC">
              <w:rPr>
                <w:rFonts w:ascii="Arial" w:hAnsi="Arial" w:cs="Arial"/>
                <w:color w:val="000000" w:themeColor="text1"/>
                <w:lang w:eastAsia="en-US"/>
              </w:rPr>
              <w:t>donner la ressour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ce complémentaire.</w:t>
            </w:r>
            <w:r>
              <w:rPr>
                <w:rFonts w:ascii="Arial" w:hAnsi="Arial" w:cs="Arial"/>
                <w:bCs/>
                <w:color w:val="FF0000"/>
                <w:lang w:eastAsia="en-US"/>
              </w:rPr>
              <w:t xml:space="preserve"> </w:t>
            </w:r>
          </w:p>
        </w:tc>
      </w:tr>
      <w:tr w:rsidR="00B917A4" w14:paraId="6DD0D55A" w14:textId="77777777" w:rsidTr="007E7655">
        <w:trPr>
          <w:trHeight w:val="870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365E" w14:textId="77777777" w:rsidR="00B917A4" w:rsidRDefault="009E443B" w:rsidP="00C2624A">
            <w:pPr>
              <w:pStyle w:val="Grillemoyenne1-Accent21"/>
              <w:ind w:left="142"/>
              <w:jc w:val="lef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Fiches : </w:t>
            </w:r>
          </w:p>
          <w:p w14:paraId="5F92C1CA" w14:textId="5B2719D9" w:rsidR="007E7655" w:rsidRPr="00C2624A" w:rsidRDefault="007E7655" w:rsidP="00C2624A">
            <w:pPr>
              <w:pStyle w:val="Paragraphedeliste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2624A">
              <w:rPr>
                <w:rFonts w:ascii="Arial" w:hAnsi="Arial" w:cs="Arial"/>
                <w:bCs/>
                <w:color w:val="000000"/>
                <w:sz w:val="24"/>
                <w:szCs w:val="20"/>
              </w:rPr>
              <w:t>fiche protocole : réaliser un test d’agglutination</w:t>
            </w:r>
          </w:p>
          <w:p w14:paraId="26DDFA3A" w14:textId="71DE3905" w:rsidR="00996F56" w:rsidRPr="007E7655" w:rsidRDefault="009E443B" w:rsidP="00C2624A">
            <w:pPr>
              <w:pStyle w:val="Grillemoyenne1-Accent2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-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7655">
              <w:rPr>
                <w:rFonts w:ascii="Arial" w:hAnsi="Arial" w:cs="Arial"/>
                <w:sz w:val="24"/>
                <w:szCs w:val="24"/>
              </w:rPr>
              <w:t>FT</w:t>
            </w:r>
            <w:r w:rsidRPr="007E76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E7655" w:rsidRPr="007E7655">
              <w:rPr>
                <w:rFonts w:ascii="Arial" w:hAnsi="Arial" w:cs="Arial"/>
                <w:sz w:val="24"/>
                <w:szCs w:val="24"/>
              </w:rPr>
              <w:t>du</w:t>
            </w:r>
            <w:r w:rsidR="007E7655" w:rsidRPr="007E76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E7655" w:rsidRPr="007E7655">
              <w:rPr>
                <w:rFonts w:ascii="Arial" w:hAnsi="Arial" w:cs="Arial"/>
                <w:bCs/>
                <w:sz w:val="24"/>
              </w:rPr>
              <w:t>logiciel Edu’modèles</w:t>
            </w:r>
            <w:r w:rsidR="007E7655" w:rsidRPr="007E76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96F56" w:rsidRPr="007E7655">
              <w:rPr>
                <w:rFonts w:ascii="Arial" w:hAnsi="Arial" w:cs="Arial"/>
                <w:sz w:val="24"/>
                <w:szCs w:val="24"/>
              </w:rPr>
              <w:t xml:space="preserve">accessibles dans l’espace </w:t>
            </w:r>
            <w:r w:rsidR="00996F56" w:rsidRPr="007E7655">
              <w:rPr>
                <w:rFonts w:ascii="Arial" w:hAnsi="Arial" w:cs="Arial"/>
                <w:b/>
                <w:sz w:val="24"/>
                <w:szCs w:val="24"/>
              </w:rPr>
              <w:t>TRIBU « Espace ECE SVT »</w:t>
            </w:r>
          </w:p>
          <w:p w14:paraId="387B50A0" w14:textId="44C20957" w:rsidR="00B917A4" w:rsidRDefault="00996F56" w:rsidP="00C2624A">
            <w:pPr>
              <w:pStyle w:val="Grillemoyenne1-Accent2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-1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413BA">
              <w:rPr>
                <w:rFonts w:ascii="Arial" w:hAnsi="Arial" w:cs="Arial"/>
                <w:bCs/>
                <w:sz w:val="24"/>
                <w:szCs w:val="24"/>
              </w:rPr>
              <w:t xml:space="preserve">Un dispositif d’acquisition numérique sera mis à disposition du candidat s’il l’a utilisé dans l’année </w:t>
            </w:r>
          </w:p>
        </w:tc>
      </w:tr>
      <w:tr w:rsidR="007E7655" w:rsidRPr="00694320" w14:paraId="6AEB2706" w14:textId="77777777" w:rsidTr="007E7655">
        <w:trPr>
          <w:trHeight w:val="266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E8AB0" w14:textId="1E258833" w:rsidR="007E7655" w:rsidRPr="007E7655" w:rsidRDefault="007E7655" w:rsidP="00547FB3">
            <w:pPr>
              <w:pStyle w:val="Grillemoyenne1-Accent21"/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7655">
              <w:rPr>
                <w:rFonts w:ascii="Arial" w:hAnsi="Arial" w:cs="Arial"/>
                <w:b/>
                <w:bCs/>
                <w:sz w:val="24"/>
                <w:szCs w:val="24"/>
              </w:rPr>
              <w:t>Équipements de protection individuelle</w:t>
            </w:r>
            <w:r w:rsidR="00547F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(pour le candidat)</w:t>
            </w:r>
          </w:p>
        </w:tc>
      </w:tr>
    </w:tbl>
    <w:tbl>
      <w:tblPr>
        <w:tblW w:w="4955" w:type="pct"/>
        <w:tblInd w:w="137" w:type="dxa"/>
        <w:tblLook w:val="0000" w:firstRow="0" w:lastRow="0" w:firstColumn="0" w:lastColumn="0" w:noHBand="0" w:noVBand="0"/>
      </w:tblPr>
      <w:tblGrid>
        <w:gridCol w:w="7512"/>
        <w:gridCol w:w="7738"/>
      </w:tblGrid>
      <w:tr w:rsidR="007E7655" w:rsidRPr="00FF59C4" w14:paraId="4303DD2C" w14:textId="77777777" w:rsidTr="00C2624A">
        <w:trPr>
          <w:trHeight w:val="864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450E02" w14:textId="2A8894ED" w:rsidR="007E7655" w:rsidRPr="00FF59C4" w:rsidRDefault="007E7655" w:rsidP="00C2624A">
            <w:pPr>
              <w:pStyle w:val="western"/>
              <w:spacing w:before="0"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0648B283" wp14:editId="28988152">
                  <wp:simplePos x="0" y="0"/>
                  <wp:positionH relativeFrom="column">
                    <wp:posOffset>2546350</wp:posOffset>
                  </wp:positionH>
                  <wp:positionV relativeFrom="paragraph">
                    <wp:posOffset>252095</wp:posOffset>
                  </wp:positionV>
                  <wp:extent cx="565150" cy="565150"/>
                  <wp:effectExtent l="0" t="0" r="6350" b="6350"/>
                  <wp:wrapTight wrapText="bothSides">
                    <wp:wrapPolygon edited="0">
                      <wp:start x="5097" y="0"/>
                      <wp:lineTo x="0" y="3640"/>
                      <wp:lineTo x="0" y="17474"/>
                      <wp:lineTo x="5097" y="21115"/>
                      <wp:lineTo x="16018" y="21115"/>
                      <wp:lineTo x="21115" y="17474"/>
                      <wp:lineTo x="21115" y="3640"/>
                      <wp:lineTo x="16018" y="0"/>
                      <wp:lineTo x="5097" y="0"/>
                    </wp:wrapPolygon>
                  </wp:wrapTight>
                  <wp:docPr id="13" name="Image 2" descr="C:\Users\avialar\Documents\dossiers_travail\SVT\sécurité\pictogrammes\Pictogrammes2023_VGuili\blou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vialar\Documents\dossiers_travail\SVT\sécurité\pictogrammes\Pictogrammes2023_VGuili\blouse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</w:rPr>
              <w:t xml:space="preserve">Obligatoire dans une salle de </w:t>
            </w:r>
            <w:r w:rsidR="00547FB3">
              <w:rPr>
                <w:rFonts w:ascii="Arial" w:hAnsi="Arial" w:cs="Arial"/>
                <w:b/>
              </w:rPr>
              <w:t xml:space="preserve">de </w:t>
            </w:r>
            <w:r w:rsidR="00C2624A">
              <w:rPr>
                <w:rFonts w:ascii="Arial" w:hAnsi="Arial" w:cs="Arial"/>
                <w:b/>
              </w:rPr>
              <w:t>tr</w:t>
            </w:r>
            <w:r>
              <w:rPr>
                <w:rFonts w:ascii="Arial" w:hAnsi="Arial" w:cs="Arial"/>
                <w:b/>
              </w:rPr>
              <w:t xml:space="preserve">avaux </w:t>
            </w:r>
            <w:r w:rsidR="00C2624A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rat</w:t>
            </w:r>
            <w:r w:rsidR="00C2624A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ques </w:t>
            </w:r>
          </w:p>
        </w:tc>
        <w:tc>
          <w:tcPr>
            <w:tcW w:w="2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543F" w14:textId="77777777" w:rsidR="007E7655" w:rsidRDefault="007E7655" w:rsidP="00C2624A">
            <w:pPr>
              <w:pStyle w:val="western"/>
              <w:spacing w:before="0" w:after="0"/>
              <w:jc w:val="both"/>
              <w:rPr>
                <w:rFonts w:ascii="Arial" w:hAnsi="Arial" w:cs="Arial"/>
                <w:noProof/>
                <w:color w:val="FF0000"/>
                <w:lang w:eastAsia="fr-FR"/>
              </w:rPr>
            </w:pPr>
          </w:p>
          <w:p w14:paraId="33A7AF7B" w14:textId="77777777" w:rsidR="007E7655" w:rsidRPr="00FF59C4" w:rsidRDefault="007E7655" w:rsidP="00C2624A">
            <w:pPr>
              <w:pStyle w:val="western"/>
              <w:spacing w:before="0"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inline distT="0" distB="0" distL="0" distR="0" wp14:anchorId="28C219AE" wp14:editId="7450607A">
                  <wp:extent cx="565150" cy="565150"/>
                  <wp:effectExtent l="0" t="0" r="6350" b="6350"/>
                  <wp:docPr id="12" name="Image 3" descr="C:\Users\avialar\Documents\dossiers_travail\SVT\sécurité\pictogrammes\Pictogrammes2023_VGuili\gan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vialar\Documents\dossiers_travail\SVT\sécurité\pictogrammes\Pictogrammes2023_VGuili\gants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65578" cy="565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</w:rPr>
              <w:t xml:space="preserve">       </w:t>
            </w:r>
          </w:p>
        </w:tc>
      </w:tr>
    </w:tbl>
    <w:tbl>
      <w:tblPr>
        <w:tblW w:w="155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569"/>
      </w:tblGrid>
      <w:tr w:rsidR="00B917A4" w14:paraId="151562FC" w14:textId="77777777">
        <w:trPr>
          <w:trHeight w:val="174"/>
        </w:trPr>
        <w:tc>
          <w:tcPr>
            <w:tcW w:w="1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820563" w14:textId="5A896B6F" w:rsidR="00B917A4" w:rsidRDefault="009E443B">
            <w:pPr>
              <w:spacing w:before="120" w:after="120"/>
              <w:rPr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lastRenderedPageBreak/>
              <w:t xml:space="preserve">Ressource complémentaire </w:t>
            </w:r>
          </w:p>
        </w:tc>
      </w:tr>
      <w:tr w:rsidR="00B917A4" w14:paraId="4FED1437" w14:textId="77777777">
        <w:trPr>
          <w:trHeight w:val="2876"/>
        </w:trPr>
        <w:tc>
          <w:tcPr>
            <w:tcW w:w="1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23FA" w14:textId="77777777" w:rsidR="00B917A4" w:rsidRPr="007E7655" w:rsidRDefault="00B917A4">
            <w:pPr>
              <w:rPr>
                <w:color w:val="000000"/>
                <w:sz w:val="10"/>
                <w:szCs w:val="10"/>
                <w:u w:val="single"/>
                <w:lang w:eastAsia="zh-CN"/>
              </w:rPr>
            </w:pPr>
          </w:p>
          <w:p w14:paraId="72082421" w14:textId="6FC95CA1" w:rsidR="00B917A4" w:rsidRPr="00006834" w:rsidRDefault="007E7655" w:rsidP="007E765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068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 xml:space="preserve">Les résultats réels de l’expérience historique de Marbrook </w:t>
            </w:r>
          </w:p>
          <w:p w14:paraId="3D5EFEFF" w14:textId="77777777" w:rsidR="00B917A4" w:rsidRPr="007E7655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662CC0B6" w14:textId="77777777" w:rsidR="00B917A4" w:rsidRPr="007E7655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5AFF9C22" w14:textId="7A70A991" w:rsidR="007E7655" w:rsidRPr="007E7655" w:rsidRDefault="007E7655" w:rsidP="007E7655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  <w:r w:rsidRPr="007E7655">
              <w:rPr>
                <w:rFonts w:ascii="Arial" w:hAnsi="Arial" w:cs="Arial"/>
                <w:noProof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  <w:drawing>
                <wp:inline distT="0" distB="0" distL="0" distR="0" wp14:anchorId="4F261204" wp14:editId="6AC88F07">
                  <wp:extent cx="8547100" cy="2906695"/>
                  <wp:effectExtent l="0" t="0" r="6350" b="8255"/>
                  <wp:docPr id="145522480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224804" name=""/>
                          <pic:cNvPicPr/>
                        </pic:nvPicPr>
                        <pic:blipFill rotWithShape="1">
                          <a:blip r:embed="rId10"/>
                          <a:srcRect b="1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9626" cy="2914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E9F8FB" w14:textId="77777777" w:rsidR="00B917A4" w:rsidRPr="007E7655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7401AEDD" w14:textId="3AEA3A22" w:rsidR="00B917A4" w:rsidRPr="00547FB3" w:rsidRDefault="00547FB3" w:rsidP="00547F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</w:pPr>
            <w:r w:rsidRPr="00547FB3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NB : LT4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signifie LTCD4</w:t>
            </w:r>
          </w:p>
          <w:p w14:paraId="7F9E53E2" w14:textId="77777777" w:rsidR="00B917A4" w:rsidRPr="007E7655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070BC640" w14:textId="67834291" w:rsidR="007E7655" w:rsidRPr="007E7655" w:rsidRDefault="007E7655" w:rsidP="007E765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CFCFC"/>
                <w:lang w:eastAsia="zh-CN"/>
              </w:rPr>
            </w:pPr>
            <w:r w:rsidRPr="007E765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CFCFC"/>
                <w:lang w:eastAsia="zh-CN"/>
              </w:rPr>
              <w:t>Source :  SVT – 1ère Enseignement de spécialité, édition Belin</w:t>
            </w:r>
          </w:p>
          <w:p w14:paraId="78051230" w14:textId="2F72EEBB" w:rsidR="00B917A4" w:rsidRPr="007E7655" w:rsidRDefault="00B917A4" w:rsidP="007E76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7597BCD6" w14:textId="77777777" w:rsidR="00B917A4" w:rsidRPr="007E7655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44216359" w14:textId="77777777" w:rsidR="00B917A4" w:rsidRPr="007E7655" w:rsidRDefault="00B917A4">
            <w:pPr>
              <w:jc w:val="right"/>
              <w:rPr>
                <w:strike/>
                <w:sz w:val="24"/>
                <w:szCs w:val="24"/>
                <w:u w:val="single"/>
                <w:lang w:eastAsia="zh-CN"/>
              </w:rPr>
            </w:pPr>
          </w:p>
        </w:tc>
      </w:tr>
    </w:tbl>
    <w:p w14:paraId="552D5560" w14:textId="77777777" w:rsidR="00B917A4" w:rsidRDefault="00B917A4">
      <w:pPr>
        <w:shd w:val="clear" w:color="auto" w:fill="FFFFFF"/>
        <w:jc w:val="left"/>
        <w:rPr>
          <w:rFonts w:ascii="Arial" w:eastAsia="Times New Roman" w:hAnsi="Arial" w:cs="Arial"/>
          <w:b/>
          <w:color w:val="FF0000"/>
          <w:szCs w:val="24"/>
          <w:u w:val="single"/>
        </w:rPr>
      </w:pPr>
    </w:p>
    <w:sectPr w:rsidR="00B917A4" w:rsidSect="00C262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568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8155" w14:textId="77777777" w:rsidR="00801F07" w:rsidRDefault="00801F07">
      <w:r>
        <w:separator/>
      </w:r>
    </w:p>
  </w:endnote>
  <w:endnote w:type="continuationSeparator" w:id="0">
    <w:p w14:paraId="70876276" w14:textId="77777777" w:rsidR="00801F07" w:rsidRDefault="0080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66F5" w14:textId="77777777" w:rsidR="00FF4C8C" w:rsidRDefault="00FF4C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060C" w14:textId="77777777" w:rsidR="00FF4C8C" w:rsidRDefault="00FF4C8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5D6E" w14:textId="77777777" w:rsidR="00FF4C8C" w:rsidRDefault="00FF4C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8C7B" w14:textId="77777777" w:rsidR="00801F07" w:rsidRDefault="00801F07">
      <w:r>
        <w:separator/>
      </w:r>
    </w:p>
  </w:footnote>
  <w:footnote w:type="continuationSeparator" w:id="0">
    <w:p w14:paraId="22A7BC39" w14:textId="77777777" w:rsidR="00801F07" w:rsidRDefault="00801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1EB4" w14:textId="77777777" w:rsidR="00FF4C8C" w:rsidRDefault="00FF4C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3090" w14:textId="61782CC1" w:rsidR="00B917A4" w:rsidRPr="00FF4C8C" w:rsidRDefault="00FF4C8C" w:rsidP="00FF4C8C">
    <w:pPr>
      <w:pStyle w:val="Paragraphedeliste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left" w:pos="2025"/>
        <w:tab w:val="center" w:pos="7699"/>
      </w:tabs>
      <w:ind w:left="0"/>
    </w:pPr>
    <w:r>
      <w:rPr>
        <w:rFonts w:ascii="Arial" w:hAnsi="Arial" w:cs="Arial"/>
        <w:b/>
        <w:bCs/>
        <w:sz w:val="24"/>
        <w:szCs w:val="24"/>
      </w:rPr>
      <w:t>Collaboration entre les cellules de l’immunité adaptative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8CE0" w14:textId="77777777" w:rsidR="00FF4C8C" w:rsidRDefault="00FF4C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85B"/>
    <w:multiLevelType w:val="hybridMultilevel"/>
    <w:tmpl w:val="2D52F760"/>
    <w:lvl w:ilvl="0" w:tplc="F5D47A5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6CA33F0"/>
    <w:multiLevelType w:val="hybridMultilevel"/>
    <w:tmpl w:val="93E8927C"/>
    <w:lvl w:ilvl="0" w:tplc="F5D47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20D8"/>
    <w:multiLevelType w:val="hybridMultilevel"/>
    <w:tmpl w:val="53E6139E"/>
    <w:lvl w:ilvl="0" w:tplc="63925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17497"/>
    <w:multiLevelType w:val="hybridMultilevel"/>
    <w:tmpl w:val="3FB2DEA0"/>
    <w:lvl w:ilvl="0" w:tplc="5B7280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198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00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04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833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EC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66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A12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81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12615"/>
    <w:multiLevelType w:val="hybridMultilevel"/>
    <w:tmpl w:val="7710109C"/>
    <w:lvl w:ilvl="0" w:tplc="F5D47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F7CC9"/>
    <w:multiLevelType w:val="hybridMultilevel"/>
    <w:tmpl w:val="E24E4E52"/>
    <w:lvl w:ilvl="0" w:tplc="F5D47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4508E"/>
    <w:multiLevelType w:val="hybridMultilevel"/>
    <w:tmpl w:val="61F8CEB2"/>
    <w:lvl w:ilvl="0" w:tplc="B9880E9E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F805FB5"/>
    <w:multiLevelType w:val="hybridMultilevel"/>
    <w:tmpl w:val="45367E58"/>
    <w:lvl w:ilvl="0" w:tplc="B9880E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27EDF"/>
    <w:multiLevelType w:val="hybridMultilevel"/>
    <w:tmpl w:val="333CFB6C"/>
    <w:lvl w:ilvl="0" w:tplc="C5887DE4">
      <w:numFmt w:val="bullet"/>
      <w:lvlText w:val=""/>
      <w:lvlJc w:val="left"/>
      <w:pPr>
        <w:ind w:left="503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75B605D9"/>
    <w:multiLevelType w:val="hybridMultilevel"/>
    <w:tmpl w:val="F41A42AE"/>
    <w:lvl w:ilvl="0" w:tplc="902C653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854A67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2883F0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824438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264718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B60CAD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9762F00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26C3AA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13EC856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A1253E9"/>
    <w:multiLevelType w:val="hybridMultilevel"/>
    <w:tmpl w:val="B70A9C20"/>
    <w:lvl w:ilvl="0" w:tplc="F5D47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530958">
    <w:abstractNumId w:val="9"/>
  </w:num>
  <w:num w:numId="2" w16cid:durableId="1542401926">
    <w:abstractNumId w:val="3"/>
  </w:num>
  <w:num w:numId="3" w16cid:durableId="73936294">
    <w:abstractNumId w:val="8"/>
  </w:num>
  <w:num w:numId="4" w16cid:durableId="1996687163">
    <w:abstractNumId w:val="7"/>
  </w:num>
  <w:num w:numId="5" w16cid:durableId="1296370981">
    <w:abstractNumId w:val="2"/>
  </w:num>
  <w:num w:numId="6" w16cid:durableId="1920746519">
    <w:abstractNumId w:val="10"/>
  </w:num>
  <w:num w:numId="7" w16cid:durableId="127745035">
    <w:abstractNumId w:val="4"/>
  </w:num>
  <w:num w:numId="8" w16cid:durableId="171377777">
    <w:abstractNumId w:val="0"/>
  </w:num>
  <w:num w:numId="9" w16cid:durableId="1560676088">
    <w:abstractNumId w:val="1"/>
  </w:num>
  <w:num w:numId="10" w16cid:durableId="544373649">
    <w:abstractNumId w:val="5"/>
  </w:num>
  <w:num w:numId="11" w16cid:durableId="96897641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A4"/>
    <w:rsid w:val="00006834"/>
    <w:rsid w:val="00101D8D"/>
    <w:rsid w:val="002123B2"/>
    <w:rsid w:val="002413BA"/>
    <w:rsid w:val="002C1B13"/>
    <w:rsid w:val="002D0DB8"/>
    <w:rsid w:val="002F1BD3"/>
    <w:rsid w:val="00372FB0"/>
    <w:rsid w:val="003F49CA"/>
    <w:rsid w:val="00446482"/>
    <w:rsid w:val="004B041C"/>
    <w:rsid w:val="004C506E"/>
    <w:rsid w:val="004C6490"/>
    <w:rsid w:val="0050003A"/>
    <w:rsid w:val="00547FB3"/>
    <w:rsid w:val="005519EA"/>
    <w:rsid w:val="0060689A"/>
    <w:rsid w:val="006241F7"/>
    <w:rsid w:val="007E7655"/>
    <w:rsid w:val="00801F07"/>
    <w:rsid w:val="00962C5A"/>
    <w:rsid w:val="009804C5"/>
    <w:rsid w:val="00984053"/>
    <w:rsid w:val="00996F56"/>
    <w:rsid w:val="009E443B"/>
    <w:rsid w:val="00A46F03"/>
    <w:rsid w:val="00B87E20"/>
    <w:rsid w:val="00B917A4"/>
    <w:rsid w:val="00BD2666"/>
    <w:rsid w:val="00C2624A"/>
    <w:rsid w:val="00CD5DAC"/>
    <w:rsid w:val="00D0764B"/>
    <w:rsid w:val="00DE2101"/>
    <w:rsid w:val="00E17C76"/>
    <w:rsid w:val="00E5091B"/>
    <w:rsid w:val="00EA65CC"/>
    <w:rsid w:val="00EE2698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CB96"/>
  <w15:docId w15:val="{3F9703C4-3048-47C7-B007-0F6B2C2A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1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1"/>
    <w:qFormat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1"/>
    <w:qFormat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1">
    <w:name w:val="Titre 5 Car1"/>
    <w:basedOn w:val="Policepardfaut"/>
    <w:link w:val="Titre5"/>
    <w:rPr>
      <w:rFonts w:ascii="Cambria" w:hAnsi="Cambria" w:cs="Cambria"/>
      <w:color w:val="243F60"/>
      <w:sz w:val="22"/>
      <w:szCs w:val="22"/>
      <w:lang w:eastAsia="ar-SA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1">
    <w:name w:val="Titre 7 Car1"/>
    <w:basedOn w:val="Policepardfaut"/>
    <w:link w:val="Titre7"/>
    <w:rPr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1">
    <w:name w:val="Titre 9 Car1"/>
    <w:basedOn w:val="Policepardfaut"/>
    <w:link w:val="Titre9"/>
    <w:rPr>
      <w:rFonts w:ascii="Arial" w:hAnsi="Arial" w:cs="Arial"/>
      <w:sz w:val="22"/>
      <w:szCs w:val="22"/>
      <w:lang w:eastAsia="ar-SA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1">
    <w:name w:val="Pied de page Car1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Calibri" w:eastAsia="Times New Roman" w:hAnsi="Calibri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Arial" w:hAnsi="Arial" w:cs="Arial"/>
      <w:b/>
      <w:bCs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  <w:b/>
      <w:bCs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Calibri" w:eastAsia="Times New Roman" w:hAnsi="Calibri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4z0">
    <w:name w:val="WW8Num14z0"/>
    <w:rPr>
      <w:rFonts w:ascii="Arial" w:hAnsi="Arial" w:cs="Arial"/>
      <w:b/>
      <w:bCs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Calibri" w:eastAsia="Times New Roman" w:hAnsi="Calibri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WW8Num20z0">
    <w:name w:val="WW8Num20z0"/>
    <w:rPr>
      <w:rFonts w:ascii="Calibri" w:eastAsia="Times New Roman" w:hAnsi="Calibri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Calibri" w:eastAsia="Times New Roman" w:hAnsi="Calibri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Calibri" w:eastAsia="Times New Roman" w:hAnsi="Calibri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itre5Car">
    <w:name w:val="Titre 5 Car"/>
    <w:rPr>
      <w:rFonts w:ascii="Cambria" w:hAnsi="Cambria" w:cs="Cambria"/>
      <w:color w:val="243F60"/>
    </w:rPr>
  </w:style>
  <w:style w:type="character" w:customStyle="1" w:styleId="Titre7Car">
    <w:name w:val="Titre 7 Car"/>
    <w:rPr>
      <w:rFonts w:ascii="Times New Roman" w:hAnsi="Times New Roman" w:cs="Times New Roman"/>
      <w:sz w:val="24"/>
      <w:szCs w:val="24"/>
    </w:rPr>
  </w:style>
  <w:style w:type="character" w:customStyle="1" w:styleId="Titre9Car">
    <w:name w:val="Titre 9 Car"/>
    <w:rPr>
      <w:rFonts w:ascii="Arial" w:hAnsi="Arial" w:cs="Arial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Pr>
      <w:rFonts w:cs="Times New Roman"/>
      <w:b/>
      <w:bCs/>
    </w:rPr>
  </w:style>
  <w:style w:type="character" w:customStyle="1" w:styleId="En-tteCar">
    <w:name w:val="En-tête Car"/>
    <w:rPr>
      <w:rFonts w:cs="Calibri"/>
    </w:rPr>
  </w:style>
  <w:style w:type="character" w:customStyle="1" w:styleId="PieddepageCar">
    <w:name w:val="Pied de page Car"/>
    <w:rPr>
      <w:rFonts w:cs="Calibri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  <w:rPr>
      <w:rFonts w:cs="Times New Roman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Grillemoyenne1-Accent21">
    <w:name w:val="Grille moyenne 1 - Accent 21"/>
    <w:basedOn w:val="Normal"/>
    <w:qFormat/>
    <w:pPr>
      <w:ind w:left="720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sdetexte31">
    <w:name w:val="Corps de texte 31"/>
    <w:basedOn w:val="Normal"/>
    <w:rPr>
      <w:rFonts w:ascii="Times New Roman" w:eastAsia="Times New Roman" w:hAnsi="Times New Roman" w:cs="Times New Roman"/>
    </w:rPr>
  </w:style>
  <w:style w:type="paragraph" w:customStyle="1" w:styleId="Tramemoyenne1-Accent11">
    <w:name w:val="Trame moyenne 1 - Accent 11"/>
    <w:qFormat/>
    <w:pPr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WW-Standard">
    <w:name w:val="WW-Standard"/>
    <w:pPr>
      <w:widowControl w:val="0"/>
      <w:jc w:val="center"/>
    </w:pPr>
    <w:rPr>
      <w:rFonts w:ascii="Calibri" w:eastAsia="Calibri" w:hAnsi="Calibri" w:cs="Calibri"/>
      <w:sz w:val="24"/>
      <w:szCs w:val="24"/>
      <w:lang w:val="de-DE" w:eastAsia="ar-SA"/>
    </w:rPr>
  </w:style>
  <w:style w:type="paragraph" w:styleId="En-tte">
    <w:name w:val="header"/>
    <w:basedOn w:val="Normal"/>
    <w:link w:val="En-tteCar1"/>
  </w:style>
  <w:style w:type="paragraph" w:styleId="Pieddepage">
    <w:name w:val="footer"/>
    <w:basedOn w:val="Normal"/>
    <w:link w:val="PieddepageCar1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rPr>
      <w:b/>
      <w:bCs/>
    </w:rPr>
  </w:style>
  <w:style w:type="paragraph" w:styleId="Titre">
    <w:name w:val="Title"/>
    <w:basedOn w:val="Normal"/>
    <w:next w:val="Sous-titre"/>
    <w:link w:val="TitreC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Car">
    <w:name w:val="Titre Car"/>
    <w:link w:val="Titre"/>
    <w:rPr>
      <w:b/>
      <w:bCs/>
      <w:sz w:val="24"/>
      <w:szCs w:val="24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Pr>
      <w:rFonts w:ascii="Calibri" w:eastAsia="Calibri" w:hAnsi="Calibri" w:cs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Calibri" w:eastAsia="Calibri" w:hAnsi="Calibri" w:cs="Calibri"/>
      <w:b/>
      <w:bCs/>
      <w:lang w:eastAsia="ar-SA"/>
    </w:rPr>
  </w:style>
  <w:style w:type="paragraph" w:customStyle="1" w:styleId="Listemoyenne2-Accent21">
    <w:name w:val="Liste moyenne 2 - Accent 21"/>
    <w:hidden/>
    <w:uiPriority w:val="99"/>
    <w:semiHidden/>
    <w:rPr>
      <w:rFonts w:ascii="Calibri" w:eastAsia="Calibri" w:hAnsi="Calibri" w:cs="Calibri"/>
      <w:sz w:val="22"/>
      <w:szCs w:val="22"/>
      <w:lang w:eastAsia="ar-SA"/>
    </w:rPr>
  </w:style>
  <w:style w:type="character" w:customStyle="1" w:styleId="CorpsdetexteCar">
    <w:name w:val="Corps de texte Car"/>
    <w:link w:val="Corpsdetexte"/>
    <w:rPr>
      <w:rFonts w:ascii="Calibri" w:eastAsia="Calibri" w:hAnsi="Calibri" w:cs="Calibri"/>
      <w:sz w:val="22"/>
      <w:szCs w:val="22"/>
      <w:lang w:eastAsia="ar-SA"/>
    </w:rPr>
  </w:style>
  <w:style w:type="paragraph" w:customStyle="1" w:styleId="western">
    <w:name w:val="western"/>
    <w:basedOn w:val="Normal"/>
    <w:rsid w:val="007E7655"/>
    <w:pPr>
      <w:spacing w:before="280" w:after="119"/>
    </w:pPr>
    <w:rPr>
      <w:rFonts w:eastAsia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E88D-E070-4F62-B4C4-02A5D9E5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ECE_26_SVT</dc:creator>
  <cp:keywords/>
  <cp:lastModifiedBy>FLORIMOND Anne</cp:lastModifiedBy>
  <cp:revision>10</cp:revision>
  <dcterms:created xsi:type="dcterms:W3CDTF">2025-10-28T14:59:00Z</dcterms:created>
  <dcterms:modified xsi:type="dcterms:W3CDTF">2026-02-07T10:25:00Z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0x010100873AB55E0CC5DA459F57F5A42893F46A005A087D358B12CA4E82A8A8BA9B8A8CF200D3544DBFAD4F664AA25DF68E6D1F0A9E00689F2856DFEDCE40890FDCED81A7DFC900F734428F0E6ACB4EAAFA1F605D28DD0C</vt:lpwstr>
  </property>
  <property fmtid="{D5CDD505-2E9C-101B-9397-08002B2CF9AE}" pid="3" name="Description0">
    <vt:lpwstr>spécificité des enzymes digestives</vt:lpwstr>
  </property>
</Properties>
</file>